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5E" w:rsidRPr="00AA6B5E" w:rsidRDefault="00AA6B5E" w:rsidP="00AA6B5E">
      <w:pPr>
        <w:pStyle w:val="2"/>
      </w:pPr>
      <w:r w:rsidRPr="00AA6B5E">
        <w:rPr>
          <w:rFonts w:hint="eastAsia"/>
        </w:rPr>
        <w:t>豆油逐步进入整理行情，油脂短期维持弱势</w:t>
      </w:r>
    </w:p>
    <w:p w:rsidR="00AA6B5E" w:rsidRPr="000349CD" w:rsidRDefault="00AA6B5E" w:rsidP="00AA6B5E">
      <w:pPr>
        <w:pStyle w:val="1"/>
      </w:pPr>
      <w:r>
        <w:rPr>
          <w:rFonts w:hint="eastAsia"/>
        </w:rPr>
        <w:t>豆油：跟随美豆反弹内在动力不足，豆油中线以整理行情为主</w:t>
      </w:r>
    </w:p>
    <w:p w:rsidR="00AA6B5E" w:rsidRDefault="00AA6B5E" w:rsidP="00AA6B5E">
      <w:pPr>
        <w:pStyle w:val="a0"/>
      </w:pPr>
      <w:r>
        <w:rPr>
          <w:rFonts w:hint="eastAsia"/>
        </w:rPr>
        <w:t>国内外豆油期现价格在8月份经历了明显的触底反弹行情。我们曾在8月月报中分析到，刚性成本支撑是内在的重要支撑力，无论是美盘还是内盘，期价均已经达到成本线，而就今年的整体环境来看，价格破成本的几率是很小的。同时配合外盘对新年度单产降低的逆转性炒作以及国内双节前备货的提振，整体油脂出现触底反弹行情。而到9月份，我们认为</w:t>
      </w:r>
      <w:r w:rsidRPr="00A457DB">
        <w:rPr>
          <w:rFonts w:hint="eastAsia"/>
          <w:b/>
        </w:rPr>
        <w:t>市场会经历一个相对比较混乱的调整时期，因为此时价格已经脱离底部超卖阶段，但同时也没有达到利多因素聚集顶点的时期，处于一个中间过渡阶段</w:t>
      </w:r>
      <w:r>
        <w:rPr>
          <w:rFonts w:hint="eastAsia"/>
        </w:rPr>
        <w:t>。</w:t>
      </w:r>
    </w:p>
    <w:p w:rsidR="00AA6B5E" w:rsidRDefault="00AA6B5E" w:rsidP="00AA6B5E">
      <w:pPr>
        <w:pStyle w:val="a0"/>
      </w:pPr>
      <w:r>
        <w:rPr>
          <w:rFonts w:hint="eastAsia"/>
        </w:rPr>
        <w:t>对于这个阶段，一方面市场仍旧会处于天气影响预期单产下调的炒作周期中，根据近期私人机构的单产预估倾向以及美农将大豆优良率下调到60%以下来看，9月份的月度供需报告中，13/14年度的美国大豆产量很有可能会继续下调。同时根据这一个月来，国际市场需求旺盛，美豆出口好转来推测，9月份供需报告中美农将出口数据上调的可能性也是较大的。但是另一方面来说，无论如何，新年度美豆的单产下调仍旧是有限度的，到目前阶段，下调幅度也十分有限，可以说即便没有创纪录的产量，美豆的丰产也已经是可以确定的，那么临近10月份，收获性压力便会体现。届时，市场情绪将会从单产不及预期的逆转性利多支撑再度转化为丰产收获性压力。而从实质性的价格角度来出发，今年的宏观环境以及供需格局，并不支持美豆1500美分以上的持续行情。</w:t>
      </w:r>
    </w:p>
    <w:p w:rsidR="00AA6B5E" w:rsidRDefault="00AA6B5E" w:rsidP="00AA6B5E">
      <w:pPr>
        <w:pStyle w:val="a0"/>
      </w:pPr>
      <w:r>
        <w:rPr>
          <w:rFonts w:hint="eastAsia"/>
        </w:rPr>
        <w:t>而在这其中，国际豆油作为本身需求较为疲软的豆制品之一，会存在两个明显的矛盾点。</w:t>
      </w:r>
    </w:p>
    <w:p w:rsidR="00AA6B5E" w:rsidRDefault="00AA6B5E" w:rsidP="00AA6B5E">
      <w:pPr>
        <w:pStyle w:val="a0"/>
      </w:pPr>
      <w:r>
        <w:rPr>
          <w:rFonts w:hint="eastAsia"/>
        </w:rPr>
        <w:t>一是</w:t>
      </w:r>
      <w:r w:rsidRPr="00A457DB">
        <w:rPr>
          <w:rFonts w:hint="eastAsia"/>
          <w:b/>
        </w:rPr>
        <w:t>价格会跟随美豆走出上行回落的走势</w:t>
      </w:r>
      <w:r>
        <w:rPr>
          <w:rFonts w:hint="eastAsia"/>
        </w:rPr>
        <w:t>。毕竟豆油终极趋势是以美豆为主的，从近几期的CFTC资金持仓中，我们已经可以看到CBOT豆油的基金净多单持仓已经从8月初的-5.5万手到8月底的-1.56万手，相对大豆及豆粕来说，资金表现仍旧相对疲软，但是已经有明显好转。因此，对于趋势来说，豆油存在自身疲软与美豆强势的矛盾点。预计这一点在9月中旬前表现的比较明显。</w:t>
      </w:r>
    </w:p>
    <w:p w:rsidR="00AA6B5E" w:rsidRDefault="00AA6B5E" w:rsidP="00AA6B5E">
      <w:pPr>
        <w:pStyle w:val="a0"/>
      </w:pPr>
      <w:r>
        <w:rPr>
          <w:rFonts w:hint="eastAsia"/>
        </w:rPr>
        <w:t>另一方面，</w:t>
      </w:r>
      <w:r w:rsidRPr="001F15E5">
        <w:rPr>
          <w:rFonts w:hint="eastAsia"/>
          <w:b/>
        </w:rPr>
        <w:t>国际油粕比价可能会出现改变，同时套利资金的行为会加持变动</w:t>
      </w:r>
      <w:r>
        <w:rPr>
          <w:rFonts w:hint="eastAsia"/>
        </w:rPr>
        <w:t>。我们知道，从去年开始，国内外油粕比价就在豆粕需求旺盛而油脂相对需求增速迟滞的影响下而不断下滑，国内外的油厂基本上都处于豆油库存不断增加而豆粕出货顺畅的局面中，这种基本面的差异再加上宏观环境导致油脂套保单不断施压，同时套利资金多粕空油不断增加。到目前，CBOT12月合约的油粕比价已经达到十年以来的最低点。</w:t>
      </w:r>
    </w:p>
    <w:p w:rsidR="00AA6B5E" w:rsidRDefault="00AA6B5E" w:rsidP="00AA6B5E">
      <w:pPr>
        <w:pStyle w:val="a0"/>
      </w:pPr>
      <w:r w:rsidRPr="006B0866">
        <w:rPr>
          <w:rFonts w:hint="eastAsia"/>
        </w:rPr>
        <w:lastRenderedPageBreak/>
        <w:t>但是到今年四季度，我们认为油粕基本面或许会存在变动。首先，到四季度国际时候会更加关注美豆的供应，而我们在8月月报中已经提到，因为天气原因，13/14年度的美豆含油率会低于12/13年度，油粕产出比例的改变将会在四季度的北美大豆供应中更加直接的体现出来。另一方面，四季度是油脂的消费高峰期，而同期的豆粕需求则会有一定下滑，这是规律性的油粕需求改变。而在今年这种油粕套利格局明显的情况下，我们认为套利资金的出脱行为会对豆油有更加重要的支撑提振作用。那么豆油的这种坚挺会与我们上文中提到的美豆收获性压力相矛盾，预计会在9月下旬表现出来。</w:t>
      </w:r>
    </w:p>
    <w:p w:rsidR="00AA6B5E" w:rsidRDefault="00AA6B5E" w:rsidP="00AA6B5E">
      <w:pPr>
        <w:pStyle w:val="a0"/>
      </w:pPr>
      <w:r w:rsidRPr="00435F6E">
        <w:rPr>
          <w:rFonts w:ascii="宋体" w:hAnsi="宋体"/>
          <w:noProof/>
          <w:szCs w:val="21"/>
        </w:rPr>
        <w:pict>
          <v:group id="_x0000_s2056" style="position:absolute;left:0;text-align:left;margin-left:-28.85pt;margin-top:11.35pt;width:490.15pt;height:187.2pt;z-index:251662336" coordorigin="1854,11090" coordsize="9720,3744">
            <v:shapetype id="_x0000_t202" coordsize="21600,21600" o:spt="202" path="m,l,21600r21600,l21600,xe">
              <v:stroke joinstyle="miter"/>
              <v:path gradientshapeok="t" o:connecttype="rect"/>
            </v:shapetype>
            <v:shape id="_x0000_s2057" type="#_x0000_t202" style="position:absolute;left:6714;top:11090;width:4860;height:3744;mso-wrap-edited:f" strokecolor="silver" strokeweight=".5pt">
              <v:stroke dashstyle="1 1" endcap="round"/>
              <v:textbox style="mso-next-textbox:#_x0000_s2057" inset="0,0,0,0">
                <w:txbxContent>
                  <w:p w:rsidR="00AA6B5E" w:rsidRPr="009E43FA" w:rsidRDefault="00AA6B5E" w:rsidP="00AA6B5E">
                    <w:pPr>
                      <w:jc w:val="center"/>
                      <w:rPr>
                        <w:sz w:val="18"/>
                        <w:szCs w:val="18"/>
                      </w:rPr>
                    </w:pPr>
                    <w:r w:rsidRPr="009E43FA">
                      <w:rPr>
                        <w:rFonts w:hint="eastAsia"/>
                        <w:sz w:val="18"/>
                        <w:szCs w:val="18"/>
                      </w:rPr>
                      <w:t>图</w:t>
                    </w:r>
                    <w:r>
                      <w:rPr>
                        <w:rFonts w:hint="eastAsia"/>
                        <w:sz w:val="18"/>
                        <w:szCs w:val="18"/>
                      </w:rPr>
                      <w:t>CBOT12</w:t>
                    </w:r>
                    <w:r>
                      <w:rPr>
                        <w:rFonts w:hint="eastAsia"/>
                        <w:sz w:val="18"/>
                        <w:szCs w:val="18"/>
                      </w:rPr>
                      <w:t>月合约油粕比价</w:t>
                    </w:r>
                  </w:p>
                  <w:p w:rsidR="00AA6B5E" w:rsidRDefault="00AA6B5E" w:rsidP="00AA6B5E">
                    <w:pPr>
                      <w:jc w:val="center"/>
                    </w:pPr>
                    <w:r>
                      <w:rPr>
                        <w:noProof/>
                      </w:rPr>
                      <w:drawing>
                        <wp:inline distT="0" distB="0" distL="0" distR="0">
                          <wp:extent cx="3042429" cy="2087592"/>
                          <wp:effectExtent l="19050" t="0" r="5571"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040695" cy="2086402"/>
                                  </a:xfrm>
                                  <a:prstGeom prst="rect">
                                    <a:avLst/>
                                  </a:prstGeom>
                                  <a:noFill/>
                                  <a:ln w="9525">
                                    <a:noFill/>
                                    <a:miter lim="800000"/>
                                    <a:headEnd/>
                                    <a:tailEnd/>
                                  </a:ln>
                                </pic:spPr>
                              </pic:pic>
                            </a:graphicData>
                          </a:graphic>
                        </wp:inline>
                      </w:drawing>
                    </w:r>
                  </w:p>
                </w:txbxContent>
              </v:textbox>
            </v:shape>
            <v:shape id="_x0000_s2058" type="#_x0000_t202" style="position:absolute;left:1854;top:11090;width:4860;height:3744;mso-wrap-edited:f" strokecolor="silver" strokeweight=".5pt">
              <v:stroke dashstyle="1 1" endcap="round"/>
              <v:textbox style="mso-next-textbox:#_x0000_s2058" inset="0,0,0,0">
                <w:txbxContent>
                  <w:p w:rsidR="00AA6B5E" w:rsidRDefault="00AA6B5E" w:rsidP="00AA6B5E">
                    <w:pPr>
                      <w:pStyle w:val="a6"/>
                    </w:pPr>
                    <w:r>
                      <w:rPr>
                        <w:rFonts w:hint="eastAsia"/>
                      </w:rPr>
                      <w:t>图</w:t>
                    </w:r>
                    <w:r>
                      <w:rPr>
                        <w:rFonts w:hint="eastAsia"/>
                      </w:rPr>
                      <w:t>CBOT</w:t>
                    </w:r>
                    <w:r>
                      <w:rPr>
                        <w:rFonts w:hint="eastAsia"/>
                      </w:rPr>
                      <w:t>豆油基金持仓</w:t>
                    </w:r>
                  </w:p>
                  <w:p w:rsidR="00AA6B5E" w:rsidRPr="00CD6314" w:rsidRDefault="00AA6B5E" w:rsidP="00AA6B5E">
                    <w:pPr>
                      <w:jc w:val="center"/>
                    </w:pPr>
                    <w:r>
                      <w:rPr>
                        <w:noProof/>
                      </w:rPr>
                      <w:drawing>
                        <wp:inline distT="0" distB="0" distL="0" distR="0">
                          <wp:extent cx="3028950" cy="2124075"/>
                          <wp:effectExtent l="1905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034872" cy="2128228"/>
                                  </a:xfrm>
                                  <a:prstGeom prst="rect">
                                    <a:avLst/>
                                  </a:prstGeom>
                                  <a:noFill/>
                                  <a:ln w="9525">
                                    <a:noFill/>
                                    <a:miter lim="800000"/>
                                    <a:headEnd/>
                                    <a:tailEnd/>
                                  </a:ln>
                                </pic:spPr>
                              </pic:pic>
                            </a:graphicData>
                          </a:graphic>
                        </wp:inline>
                      </w:drawing>
                    </w:r>
                  </w:p>
                </w:txbxContent>
              </v:textbox>
            </v:shape>
          </v:group>
        </w:pict>
      </w: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Pr="003E7481" w:rsidRDefault="00AA6B5E" w:rsidP="00AA6B5E">
      <w:pPr>
        <w:pStyle w:val="a0"/>
      </w:pPr>
      <w:r w:rsidRPr="006B0866">
        <w:rPr>
          <w:rFonts w:hint="eastAsia"/>
        </w:rPr>
        <w:t>来。</w:t>
      </w:r>
    </w:p>
    <w:p w:rsidR="00AA6B5E" w:rsidRDefault="00AA6B5E" w:rsidP="00AA6B5E">
      <w:pPr>
        <w:pStyle w:val="a0"/>
        <w:ind w:leftChars="0" w:left="0" w:firstLineChars="0" w:firstLine="0"/>
        <w:rPr>
          <w:rFonts w:ascii="宋体" w:hAnsi="宋体"/>
          <w:szCs w:val="21"/>
        </w:rPr>
      </w:pPr>
    </w:p>
    <w:p w:rsidR="00AA6B5E" w:rsidRDefault="00AA6B5E" w:rsidP="00AA6B5E">
      <w:pPr>
        <w:pStyle w:val="a0"/>
        <w:rPr>
          <w:rFonts w:ascii="宋体" w:hAnsi="宋体"/>
          <w:szCs w:val="21"/>
        </w:rPr>
      </w:pPr>
    </w:p>
    <w:p w:rsidR="00AA6B5E" w:rsidRDefault="00AA6B5E" w:rsidP="00AA6B5E">
      <w:pPr>
        <w:pStyle w:val="a0"/>
        <w:rPr>
          <w:rFonts w:ascii="宋体" w:hAnsi="宋体"/>
          <w:szCs w:val="21"/>
        </w:rPr>
      </w:pPr>
    </w:p>
    <w:p w:rsidR="00AA6B5E" w:rsidRDefault="00AA6B5E" w:rsidP="00AA6B5E">
      <w:pPr>
        <w:pStyle w:val="a0"/>
        <w:rPr>
          <w:rFonts w:ascii="宋体" w:hAnsi="宋体"/>
          <w:szCs w:val="21"/>
        </w:rPr>
      </w:pPr>
    </w:p>
    <w:p w:rsidR="00AA6B5E" w:rsidRDefault="00AA6B5E" w:rsidP="00AA6B5E">
      <w:pPr>
        <w:pStyle w:val="a0"/>
        <w:ind w:leftChars="0" w:left="0" w:firstLineChars="1000" w:firstLine="2100"/>
        <w:rPr>
          <w:rFonts w:ascii="宋体" w:hAnsi="宋体"/>
          <w:szCs w:val="21"/>
        </w:rPr>
      </w:pPr>
    </w:p>
    <w:p w:rsidR="00AA6B5E" w:rsidRPr="00F707DB" w:rsidRDefault="00AA6B5E" w:rsidP="00AA6B5E">
      <w:pPr>
        <w:pStyle w:val="a0"/>
        <w:ind w:leftChars="0" w:left="0" w:firstLineChars="1000" w:firstLine="1800"/>
        <w:rPr>
          <w:rFonts w:ascii="宋体" w:hAnsi="宋体"/>
          <w:sz w:val="18"/>
          <w:szCs w:val="18"/>
        </w:rPr>
      </w:pPr>
      <w:r w:rsidRPr="00F707DB">
        <w:rPr>
          <w:rFonts w:ascii="宋体" w:hAnsi="宋体" w:hint="eastAsia"/>
          <w:sz w:val="18"/>
          <w:szCs w:val="18"/>
        </w:rPr>
        <w:t>表</w:t>
      </w:r>
      <w:r>
        <w:rPr>
          <w:rFonts w:ascii="宋体" w:hAnsi="宋体" w:hint="eastAsia"/>
          <w:sz w:val="18"/>
          <w:szCs w:val="18"/>
        </w:rPr>
        <w:t>1</w:t>
      </w:r>
      <w:r w:rsidRPr="00F707DB">
        <w:rPr>
          <w:rFonts w:ascii="宋体" w:hAnsi="宋体" w:hint="eastAsia"/>
          <w:sz w:val="18"/>
          <w:szCs w:val="18"/>
        </w:rPr>
        <w:t>：美国农业部</w:t>
      </w:r>
      <w:r>
        <w:rPr>
          <w:rFonts w:ascii="宋体" w:hAnsi="宋体" w:hint="eastAsia"/>
          <w:sz w:val="18"/>
          <w:szCs w:val="18"/>
        </w:rPr>
        <w:t>8</w:t>
      </w:r>
      <w:r w:rsidRPr="00F707DB">
        <w:rPr>
          <w:rFonts w:ascii="宋体" w:hAnsi="宋体" w:hint="eastAsia"/>
          <w:sz w:val="18"/>
          <w:szCs w:val="18"/>
        </w:rPr>
        <w:t>月份公布的月度供需平衡表</w:t>
      </w:r>
    </w:p>
    <w:tbl>
      <w:tblPr>
        <w:tblStyle w:val="a8"/>
        <w:tblW w:w="0" w:type="auto"/>
        <w:tblInd w:w="1890" w:type="dxa"/>
        <w:tblLook w:val="04A0"/>
      </w:tblPr>
      <w:tblGrid>
        <w:gridCol w:w="2055"/>
        <w:gridCol w:w="2083"/>
        <w:gridCol w:w="2083"/>
      </w:tblGrid>
      <w:tr w:rsidR="00AA6B5E" w:rsidRPr="00F707DB" w:rsidTr="005617A6">
        <w:tc>
          <w:tcPr>
            <w:tcW w:w="2055" w:type="dxa"/>
          </w:tcPr>
          <w:p w:rsidR="00AA6B5E" w:rsidRPr="00F707DB" w:rsidRDefault="00AA6B5E" w:rsidP="005617A6">
            <w:pPr>
              <w:pStyle w:val="a0"/>
              <w:ind w:leftChars="0" w:left="0" w:firstLineChars="0" w:firstLine="0"/>
              <w:jc w:val="center"/>
              <w:rPr>
                <w:sz w:val="18"/>
                <w:szCs w:val="18"/>
              </w:rPr>
            </w:pPr>
            <w:r w:rsidRPr="00F707DB">
              <w:rPr>
                <w:rFonts w:hint="eastAsia"/>
                <w:sz w:val="18"/>
                <w:szCs w:val="18"/>
              </w:rPr>
              <w:t>美国大豆压榨</w:t>
            </w:r>
          </w:p>
        </w:tc>
        <w:tc>
          <w:tcPr>
            <w:tcW w:w="2083" w:type="dxa"/>
          </w:tcPr>
          <w:p w:rsidR="00AA6B5E" w:rsidRPr="00F707DB" w:rsidRDefault="00AA6B5E" w:rsidP="005617A6">
            <w:pPr>
              <w:pStyle w:val="a0"/>
              <w:ind w:leftChars="0" w:left="0" w:firstLineChars="0" w:firstLine="0"/>
              <w:jc w:val="center"/>
              <w:rPr>
                <w:sz w:val="18"/>
                <w:szCs w:val="18"/>
              </w:rPr>
            </w:pPr>
            <w:r w:rsidRPr="00F707DB">
              <w:rPr>
                <w:rFonts w:hint="eastAsia"/>
                <w:sz w:val="18"/>
                <w:szCs w:val="18"/>
              </w:rPr>
              <w:t>12/13年度</w:t>
            </w:r>
          </w:p>
        </w:tc>
        <w:tc>
          <w:tcPr>
            <w:tcW w:w="2083" w:type="dxa"/>
          </w:tcPr>
          <w:p w:rsidR="00AA6B5E" w:rsidRPr="00F707DB" w:rsidRDefault="00AA6B5E" w:rsidP="005617A6">
            <w:pPr>
              <w:pStyle w:val="a0"/>
              <w:ind w:leftChars="0" w:left="0" w:firstLineChars="0" w:firstLine="0"/>
              <w:jc w:val="center"/>
              <w:rPr>
                <w:sz w:val="18"/>
                <w:szCs w:val="18"/>
              </w:rPr>
            </w:pPr>
            <w:r w:rsidRPr="00F707DB">
              <w:rPr>
                <w:rFonts w:hint="eastAsia"/>
                <w:sz w:val="18"/>
                <w:szCs w:val="18"/>
              </w:rPr>
              <w:t>13/14年度</w:t>
            </w:r>
          </w:p>
        </w:tc>
      </w:tr>
      <w:tr w:rsidR="00AA6B5E" w:rsidRPr="00F707DB" w:rsidTr="005617A6">
        <w:tc>
          <w:tcPr>
            <w:tcW w:w="2055" w:type="dxa"/>
          </w:tcPr>
          <w:p w:rsidR="00AA6B5E" w:rsidRPr="00F707DB" w:rsidRDefault="00AA6B5E" w:rsidP="005617A6">
            <w:pPr>
              <w:pStyle w:val="a0"/>
              <w:ind w:leftChars="0" w:left="0" w:firstLineChars="0" w:firstLine="0"/>
              <w:jc w:val="center"/>
              <w:rPr>
                <w:sz w:val="18"/>
                <w:szCs w:val="18"/>
              </w:rPr>
            </w:pPr>
            <w:r w:rsidRPr="00F707DB">
              <w:rPr>
                <w:rFonts w:hint="eastAsia"/>
                <w:sz w:val="18"/>
                <w:szCs w:val="18"/>
              </w:rPr>
              <w:t>压榨量（百万蒲）</w:t>
            </w:r>
          </w:p>
        </w:tc>
        <w:tc>
          <w:tcPr>
            <w:tcW w:w="2083" w:type="dxa"/>
          </w:tcPr>
          <w:p w:rsidR="00AA6B5E" w:rsidRPr="00F707DB" w:rsidRDefault="00AA6B5E" w:rsidP="005617A6">
            <w:pPr>
              <w:pStyle w:val="a0"/>
              <w:ind w:leftChars="0" w:left="0" w:firstLineChars="0" w:firstLine="0"/>
              <w:jc w:val="center"/>
              <w:rPr>
                <w:sz w:val="18"/>
                <w:szCs w:val="18"/>
              </w:rPr>
            </w:pPr>
            <w:r w:rsidRPr="00F707DB">
              <w:rPr>
                <w:rFonts w:hint="eastAsia"/>
                <w:sz w:val="18"/>
                <w:szCs w:val="18"/>
              </w:rPr>
              <w:t>16</w:t>
            </w:r>
            <w:r>
              <w:rPr>
                <w:rFonts w:hint="eastAsia"/>
                <w:sz w:val="18"/>
                <w:szCs w:val="18"/>
              </w:rPr>
              <w:t>85</w:t>
            </w:r>
          </w:p>
        </w:tc>
        <w:tc>
          <w:tcPr>
            <w:tcW w:w="2083" w:type="dxa"/>
          </w:tcPr>
          <w:p w:rsidR="00AA6B5E" w:rsidRPr="00F707DB" w:rsidRDefault="00AA6B5E" w:rsidP="005617A6">
            <w:pPr>
              <w:pStyle w:val="a0"/>
              <w:ind w:leftChars="0" w:left="0" w:firstLineChars="0" w:firstLine="0"/>
              <w:jc w:val="center"/>
              <w:rPr>
                <w:sz w:val="18"/>
                <w:szCs w:val="18"/>
              </w:rPr>
            </w:pPr>
            <w:r w:rsidRPr="00F707DB">
              <w:rPr>
                <w:rFonts w:hint="eastAsia"/>
                <w:sz w:val="18"/>
                <w:szCs w:val="18"/>
              </w:rPr>
              <w:t>1</w:t>
            </w:r>
            <w:r>
              <w:rPr>
                <w:rFonts w:hint="eastAsia"/>
                <w:sz w:val="18"/>
                <w:szCs w:val="18"/>
              </w:rPr>
              <w:t>675</w:t>
            </w:r>
          </w:p>
        </w:tc>
      </w:tr>
      <w:tr w:rsidR="00AA6B5E" w:rsidRPr="00F707DB" w:rsidTr="005617A6">
        <w:tc>
          <w:tcPr>
            <w:tcW w:w="2055" w:type="dxa"/>
          </w:tcPr>
          <w:p w:rsidR="00AA6B5E" w:rsidRPr="00F707DB" w:rsidRDefault="00AA6B5E" w:rsidP="005617A6">
            <w:pPr>
              <w:pStyle w:val="a0"/>
              <w:ind w:leftChars="0" w:left="0" w:firstLineChars="0" w:firstLine="0"/>
              <w:jc w:val="center"/>
              <w:rPr>
                <w:sz w:val="18"/>
                <w:szCs w:val="18"/>
              </w:rPr>
            </w:pPr>
            <w:r w:rsidRPr="00F707DB">
              <w:rPr>
                <w:rFonts w:hint="eastAsia"/>
                <w:sz w:val="18"/>
                <w:szCs w:val="18"/>
              </w:rPr>
              <w:t>豆油产量（百万磅）</w:t>
            </w:r>
          </w:p>
        </w:tc>
        <w:tc>
          <w:tcPr>
            <w:tcW w:w="2083" w:type="dxa"/>
          </w:tcPr>
          <w:p w:rsidR="00AA6B5E" w:rsidRPr="00F707DB" w:rsidRDefault="00AA6B5E" w:rsidP="005617A6">
            <w:pPr>
              <w:pStyle w:val="a0"/>
              <w:ind w:leftChars="0" w:left="0" w:firstLineChars="0" w:firstLine="0"/>
              <w:jc w:val="center"/>
              <w:rPr>
                <w:sz w:val="18"/>
                <w:szCs w:val="18"/>
              </w:rPr>
            </w:pPr>
            <w:r w:rsidRPr="00F707DB">
              <w:rPr>
                <w:rFonts w:hint="eastAsia"/>
                <w:sz w:val="18"/>
                <w:szCs w:val="18"/>
              </w:rPr>
              <w:t>19</w:t>
            </w:r>
            <w:r>
              <w:rPr>
                <w:rFonts w:hint="eastAsia"/>
                <w:sz w:val="18"/>
                <w:szCs w:val="18"/>
              </w:rPr>
              <w:t>780</w:t>
            </w:r>
          </w:p>
        </w:tc>
        <w:tc>
          <w:tcPr>
            <w:tcW w:w="2083" w:type="dxa"/>
          </w:tcPr>
          <w:p w:rsidR="00AA6B5E" w:rsidRPr="00F707DB" w:rsidRDefault="00AA6B5E" w:rsidP="005617A6">
            <w:pPr>
              <w:pStyle w:val="a0"/>
              <w:ind w:leftChars="0" w:left="0" w:firstLineChars="0" w:firstLine="0"/>
              <w:jc w:val="center"/>
              <w:rPr>
                <w:sz w:val="18"/>
                <w:szCs w:val="18"/>
              </w:rPr>
            </w:pPr>
            <w:r w:rsidRPr="00F707DB">
              <w:rPr>
                <w:rFonts w:hint="eastAsia"/>
                <w:sz w:val="18"/>
                <w:szCs w:val="18"/>
              </w:rPr>
              <w:t>1</w:t>
            </w:r>
            <w:r>
              <w:rPr>
                <w:rFonts w:hint="eastAsia"/>
                <w:sz w:val="18"/>
                <w:szCs w:val="18"/>
              </w:rPr>
              <w:t>9265</w:t>
            </w:r>
          </w:p>
        </w:tc>
      </w:tr>
      <w:tr w:rsidR="00AA6B5E" w:rsidRPr="00F707DB" w:rsidTr="005617A6">
        <w:tc>
          <w:tcPr>
            <w:tcW w:w="2055" w:type="dxa"/>
          </w:tcPr>
          <w:p w:rsidR="00AA6B5E" w:rsidRPr="00F707DB" w:rsidRDefault="00AA6B5E" w:rsidP="005617A6">
            <w:pPr>
              <w:pStyle w:val="a0"/>
              <w:ind w:leftChars="0" w:left="0" w:firstLineChars="0" w:firstLine="0"/>
              <w:jc w:val="center"/>
              <w:rPr>
                <w:sz w:val="18"/>
                <w:szCs w:val="18"/>
              </w:rPr>
            </w:pPr>
            <w:r w:rsidRPr="00F707DB">
              <w:rPr>
                <w:rFonts w:hint="eastAsia"/>
                <w:sz w:val="18"/>
                <w:szCs w:val="18"/>
              </w:rPr>
              <w:t>豆粕产量（千短吨）</w:t>
            </w:r>
          </w:p>
        </w:tc>
        <w:tc>
          <w:tcPr>
            <w:tcW w:w="2083" w:type="dxa"/>
          </w:tcPr>
          <w:p w:rsidR="00AA6B5E" w:rsidRPr="00F707DB" w:rsidRDefault="00AA6B5E" w:rsidP="005617A6">
            <w:pPr>
              <w:pStyle w:val="a0"/>
              <w:ind w:leftChars="0" w:left="0" w:firstLineChars="0" w:firstLine="0"/>
              <w:jc w:val="center"/>
              <w:rPr>
                <w:sz w:val="18"/>
                <w:szCs w:val="18"/>
              </w:rPr>
            </w:pPr>
            <w:r w:rsidRPr="00F707DB">
              <w:rPr>
                <w:rFonts w:hint="eastAsia"/>
                <w:sz w:val="18"/>
                <w:szCs w:val="18"/>
              </w:rPr>
              <w:t>39</w:t>
            </w:r>
            <w:r>
              <w:rPr>
                <w:rFonts w:hint="eastAsia"/>
                <w:sz w:val="18"/>
                <w:szCs w:val="18"/>
              </w:rPr>
              <w:t>900</w:t>
            </w:r>
          </w:p>
        </w:tc>
        <w:tc>
          <w:tcPr>
            <w:tcW w:w="2083" w:type="dxa"/>
          </w:tcPr>
          <w:p w:rsidR="00AA6B5E" w:rsidRPr="00F707DB" w:rsidRDefault="00AA6B5E" w:rsidP="005617A6">
            <w:pPr>
              <w:pStyle w:val="a0"/>
              <w:ind w:leftChars="0" w:left="0" w:firstLineChars="0" w:firstLine="0"/>
              <w:jc w:val="center"/>
              <w:rPr>
                <w:sz w:val="18"/>
                <w:szCs w:val="18"/>
              </w:rPr>
            </w:pPr>
            <w:r>
              <w:rPr>
                <w:rFonts w:hint="eastAsia"/>
                <w:sz w:val="18"/>
                <w:szCs w:val="18"/>
              </w:rPr>
              <w:t>39735</w:t>
            </w:r>
          </w:p>
        </w:tc>
      </w:tr>
    </w:tbl>
    <w:p w:rsidR="00AA6B5E" w:rsidRDefault="00AA6B5E" w:rsidP="00AA6B5E">
      <w:pPr>
        <w:pStyle w:val="a0"/>
      </w:pPr>
    </w:p>
    <w:p w:rsidR="00AA6B5E" w:rsidRDefault="00AA6B5E" w:rsidP="00AA6B5E">
      <w:pPr>
        <w:pStyle w:val="a0"/>
      </w:pPr>
      <w:r>
        <w:rPr>
          <w:rFonts w:hint="eastAsia"/>
        </w:rPr>
        <w:t>那么综合来看，我们认为9月份国际豆油市场会处于矛盾点之中，整体趋势的上行回落不会改变，但是震荡性以及突发行情会比较明显。</w:t>
      </w:r>
    </w:p>
    <w:p w:rsidR="00AA6B5E" w:rsidRDefault="00AA6B5E" w:rsidP="00AA6B5E">
      <w:pPr>
        <w:pStyle w:val="a0"/>
      </w:pPr>
    </w:p>
    <w:p w:rsidR="00AA6B5E" w:rsidRDefault="00AA6B5E" w:rsidP="00AA6B5E">
      <w:pPr>
        <w:pStyle w:val="a0"/>
        <w:ind w:firstLine="422"/>
      </w:pPr>
      <w:r w:rsidRPr="00001B34">
        <w:rPr>
          <w:rFonts w:hint="eastAsia"/>
          <w:b/>
        </w:rPr>
        <w:t>国内市场而言，豆油的支撑相对8月份会更加少。</w:t>
      </w:r>
      <w:r w:rsidRPr="00563DC1">
        <w:rPr>
          <w:rFonts w:hint="eastAsia"/>
          <w:b/>
        </w:rPr>
        <w:t>消费亮点已经过去，暂时没有明显的预期。而</w:t>
      </w:r>
      <w:r>
        <w:rPr>
          <w:rFonts w:hint="eastAsia"/>
          <w:b/>
        </w:rPr>
        <w:t>在实质性</w:t>
      </w:r>
      <w:r w:rsidRPr="00563DC1">
        <w:rPr>
          <w:rFonts w:hint="eastAsia"/>
          <w:b/>
        </w:rPr>
        <w:t>供应压力仍旧存在的情况下，脱离了刚性成本支撑的区间，实质性的成本处于低位，难以对期现价格提供支撑助力</w:t>
      </w:r>
      <w:r w:rsidRPr="00001B34">
        <w:rPr>
          <w:rFonts w:hint="eastAsia"/>
          <w:b/>
        </w:rPr>
        <w:t>。</w:t>
      </w:r>
    </w:p>
    <w:p w:rsidR="00AA6B5E" w:rsidRDefault="00AA6B5E" w:rsidP="00AA6B5E">
      <w:pPr>
        <w:pStyle w:val="a0"/>
      </w:pPr>
      <w:r>
        <w:rPr>
          <w:rFonts w:hint="eastAsia"/>
        </w:rPr>
        <w:t>首先，从消费来看，8月份伴随内外盘期价的触底反弹，国内豆油现货市场也借机在为中秋乃至国庆而积极备货，从下图国内一级豆油成交统计图中可以看到，8月份的成交量明显放大，尤其是在8月中旬前后。基本上入货价格在7000-7100左右。但是到8月尾声，尽管价格出现了与8</w:t>
      </w:r>
      <w:r>
        <w:rPr>
          <w:rFonts w:hint="eastAsia"/>
        </w:rPr>
        <w:lastRenderedPageBreak/>
        <w:t>月中下旬时同样的回落，价格区间也逐渐接近，但是成交量并没有出现同样的放大，反而逐渐萎缩。我们认为是备货期已经结束，到9月份，尽管消费旺季到来，但是现货市场却暂时难有明显的亮点来对豆油的消费进行提振。</w:t>
      </w:r>
    </w:p>
    <w:p w:rsidR="00AA6B5E" w:rsidRDefault="00AA6B5E" w:rsidP="00AA6B5E">
      <w:pPr>
        <w:pStyle w:val="a0"/>
      </w:pPr>
      <w:r>
        <w:rPr>
          <w:rFonts w:hint="eastAsia"/>
        </w:rPr>
        <w:t>其次，从供应角度来看，豆油的理论供应压力是有所缓解的。一方面，大豆港口库存在巨量到港大豆施压下，截止到8月底约为719万吨，相比7月底小增10万吨。而与预期的9月份大豆进口量约为500万吨，较7月份的720万吨以及8月份的预估量630万吨，有明显的下滑。那么9月份折油理论供应量预计在238万吨左右，环比下降了9%。</w:t>
      </w:r>
    </w:p>
    <w:p w:rsidR="00AA6B5E" w:rsidRPr="0096578F" w:rsidRDefault="00AA6B5E" w:rsidP="00AA6B5E">
      <w:pPr>
        <w:pStyle w:val="a0"/>
      </w:pPr>
      <w:r>
        <w:rPr>
          <w:rFonts w:hint="eastAsia"/>
        </w:rPr>
        <w:t>但是尽管理论供应量减少，实际供应量却并没有缓解。</w:t>
      </w:r>
    </w:p>
    <w:p w:rsidR="00AA6B5E" w:rsidRDefault="00AA6B5E" w:rsidP="00AA6B5E">
      <w:pPr>
        <w:pStyle w:val="a0"/>
      </w:pPr>
      <w:r>
        <w:rPr>
          <w:rFonts w:hint="eastAsia"/>
        </w:rPr>
        <w:t>统计实际供应量有二，一是豆油的进口量，一是实际的压榨出油量。从豆油进口量来看，历年的下半年都是豆油的进口高峰期，主要是需求旺季刺激进口。而今年除了需求刺激以外，更重要的是国际豆油价格偏低，油豆比处于阶段性低位，进口豆油更加划算。因此，我们预期豆油的进口量不会太少，预计8、9月均进口会在20万吨左右。</w:t>
      </w:r>
    </w:p>
    <w:p w:rsidR="00AA6B5E" w:rsidRDefault="00AA6B5E" w:rsidP="00AA6B5E">
      <w:pPr>
        <w:pStyle w:val="a0"/>
      </w:pPr>
      <w:r>
        <w:rPr>
          <w:rFonts w:hint="eastAsia"/>
        </w:rPr>
        <w:t>从实际的压榨出油量来看，8月份以来，大豆现货压榨利润便不断回升，尤其进口大豆压榨利润从7月下旬的亏损到8月份的200元/吨以上。压榨利润的刺激将会提高开机率，从而增加豆油的实际供应量。根据粮油商务网统计，截止到8月31日全国主要油厂的平均开机率在52.27%左右，而8月四周周均开机率在51.61%。仅按照8月底的开机率计算9月份的出油量，预计9月出油量约在90万吨左右。</w:t>
      </w:r>
    </w:p>
    <w:p w:rsidR="00AA6B5E" w:rsidRDefault="00AA6B5E" w:rsidP="00AA6B5E">
      <w:pPr>
        <w:pStyle w:val="a0"/>
      </w:pPr>
      <w:r>
        <w:rPr>
          <w:rFonts w:hint="eastAsia"/>
        </w:rPr>
        <w:t>加上豆油进口预估，那么9月份的豆油实际供应量预计能够达到110万吨左右，高于7、8月份。</w:t>
      </w:r>
    </w:p>
    <w:p w:rsidR="00AA6B5E" w:rsidRDefault="00AA6B5E" w:rsidP="00AA6B5E">
      <w:pPr>
        <w:pStyle w:val="a0"/>
      </w:pPr>
      <w:r>
        <w:rPr>
          <w:noProof/>
        </w:rPr>
        <w:pict>
          <v:group id="_x0000_s2062" style="position:absolute;left:0;text-align:left;margin-left:-6.1pt;margin-top:11.55pt;width:498.75pt;height:187.2pt;z-index:251664384" coordorigin="1854,11090" coordsize="9720,3744">
            <v:shape id="_x0000_s2063" type="#_x0000_t202" style="position:absolute;left:6714;top:11090;width:4860;height:3744;mso-wrap-edited:f" strokecolor="silver" strokeweight=".5pt">
              <v:stroke dashstyle="1 1" endcap="round"/>
              <v:textbox style="mso-next-textbox:#_x0000_s2063" inset="0,0,0,0">
                <w:txbxContent>
                  <w:p w:rsidR="00AA6B5E" w:rsidRPr="00871C41" w:rsidRDefault="00AA6B5E" w:rsidP="00AA6B5E">
                    <w:pPr>
                      <w:pStyle w:val="a6"/>
                    </w:pPr>
                    <w:r>
                      <w:rPr>
                        <w:rFonts w:hint="eastAsia"/>
                      </w:rPr>
                      <w:t>图港口大豆库存理论供油量（单位：万吨）</w:t>
                    </w:r>
                  </w:p>
                  <w:p w:rsidR="00AA6B5E" w:rsidRPr="00173465" w:rsidRDefault="00AA6B5E" w:rsidP="00AA6B5E">
                    <w:pPr>
                      <w:jc w:val="center"/>
                    </w:pPr>
                    <w:r>
                      <w:rPr>
                        <w:noProof/>
                      </w:rPr>
                      <w:drawing>
                        <wp:inline distT="0" distB="0" distL="0" distR="0">
                          <wp:extent cx="3048000" cy="1981200"/>
                          <wp:effectExtent l="19050" t="0" r="0" b="0"/>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049631" cy="1982260"/>
                                  </a:xfrm>
                                  <a:prstGeom prst="rect">
                                    <a:avLst/>
                                  </a:prstGeom>
                                  <a:noFill/>
                                  <a:ln w="9525">
                                    <a:noFill/>
                                    <a:miter lim="800000"/>
                                    <a:headEnd/>
                                    <a:tailEnd/>
                                  </a:ln>
                                </pic:spPr>
                              </pic:pic>
                            </a:graphicData>
                          </a:graphic>
                        </wp:inline>
                      </w:drawing>
                    </w:r>
                  </w:p>
                </w:txbxContent>
              </v:textbox>
            </v:shape>
            <v:shape id="_x0000_s2064" type="#_x0000_t202" style="position:absolute;left:1854;top:11090;width:4860;height:3744;mso-wrap-edited:f" strokecolor="silver" strokeweight=".5pt">
              <v:stroke dashstyle="1 1" endcap="round"/>
              <v:textbox style="mso-next-textbox:#_x0000_s2064" inset="0,0,0,0">
                <w:txbxContent>
                  <w:p w:rsidR="00AA6B5E" w:rsidRDefault="00AA6B5E" w:rsidP="00AA6B5E">
                    <w:pPr>
                      <w:pStyle w:val="a6"/>
                    </w:pPr>
                    <w:r>
                      <w:rPr>
                        <w:rFonts w:hint="eastAsia"/>
                      </w:rPr>
                      <w:t>图国内一级豆油成交统计（单位：吨）</w:t>
                    </w:r>
                  </w:p>
                  <w:p w:rsidR="00AA6B5E" w:rsidRPr="008E2D4C" w:rsidRDefault="00AA6B5E" w:rsidP="00AA6B5E">
                    <w:pPr>
                      <w:jc w:val="center"/>
                    </w:pPr>
                    <w:r>
                      <w:rPr>
                        <w:noProof/>
                      </w:rPr>
                      <w:drawing>
                        <wp:inline distT="0" distB="0" distL="0" distR="0">
                          <wp:extent cx="3095625" cy="2038350"/>
                          <wp:effectExtent l="19050" t="0" r="9525"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095625" cy="2038350"/>
                                  </a:xfrm>
                                  <a:prstGeom prst="rect">
                                    <a:avLst/>
                                  </a:prstGeom>
                                  <a:noFill/>
                                  <a:ln w="9525">
                                    <a:noFill/>
                                    <a:miter lim="800000"/>
                                    <a:headEnd/>
                                    <a:tailEnd/>
                                  </a:ln>
                                </pic:spPr>
                              </pic:pic>
                            </a:graphicData>
                          </a:graphic>
                        </wp:inline>
                      </w:drawing>
                    </w:r>
                  </w:p>
                </w:txbxContent>
              </v:textbox>
            </v:shape>
          </v:group>
        </w:pict>
      </w:r>
    </w:p>
    <w:p w:rsidR="00AA6B5E" w:rsidRDefault="00AA6B5E" w:rsidP="00AA6B5E">
      <w:pPr>
        <w:pStyle w:val="a0"/>
      </w:pPr>
    </w:p>
    <w:p w:rsidR="00AA6B5E" w:rsidRPr="00A453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r>
        <w:rPr>
          <w:noProof/>
        </w:rPr>
        <w:pict>
          <v:group id="_x0000_s2059" style="position:absolute;left:0;text-align:left;margin-left:-6.1pt;margin-top:1.4pt;width:498.75pt;height:187.2pt;z-index:251663360" coordorigin="1854,11090" coordsize="9720,3744">
            <v:shape id="_x0000_s2060" type="#_x0000_t202" style="position:absolute;left:6714;top:11090;width:4860;height:3744;mso-wrap-edited:f" strokecolor="silver" strokeweight=".5pt">
              <v:stroke dashstyle="1 1" endcap="round"/>
              <v:textbox style="mso-next-textbox:#_x0000_s2060" inset="0,0,0,0">
                <w:txbxContent>
                  <w:p w:rsidR="00AA6B5E" w:rsidRPr="00871C41" w:rsidRDefault="00AA6B5E" w:rsidP="00AA6B5E">
                    <w:pPr>
                      <w:pStyle w:val="a6"/>
                    </w:pPr>
                    <w:r>
                      <w:rPr>
                        <w:rFonts w:hint="eastAsia"/>
                      </w:rPr>
                      <w:t>图大豆压榨利润</w:t>
                    </w:r>
                  </w:p>
                  <w:p w:rsidR="00AA6B5E" w:rsidRDefault="00AA6B5E" w:rsidP="00AA6B5E">
                    <w:pPr>
                      <w:jc w:val="center"/>
                    </w:pPr>
                    <w:r>
                      <w:rPr>
                        <w:noProof/>
                      </w:rPr>
                      <w:drawing>
                        <wp:inline distT="0" distB="0" distL="0" distR="0">
                          <wp:extent cx="3103712" cy="2113472"/>
                          <wp:effectExtent l="19050" t="0" r="1438" b="0"/>
                          <wp:docPr id="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107676" cy="2116171"/>
                                  </a:xfrm>
                                  <a:prstGeom prst="rect">
                                    <a:avLst/>
                                  </a:prstGeom>
                                  <a:noFill/>
                                  <a:ln w="9525">
                                    <a:noFill/>
                                    <a:miter lim="800000"/>
                                    <a:headEnd/>
                                    <a:tailEnd/>
                                  </a:ln>
                                </pic:spPr>
                              </pic:pic>
                            </a:graphicData>
                          </a:graphic>
                        </wp:inline>
                      </w:drawing>
                    </w:r>
                  </w:p>
                </w:txbxContent>
              </v:textbox>
            </v:shape>
            <v:shape id="_x0000_s2061" type="#_x0000_t202" style="position:absolute;left:1854;top:11090;width:4860;height:3744;mso-wrap-edited:f" strokecolor="silver" strokeweight=".5pt">
              <v:stroke dashstyle="1 1" endcap="round"/>
              <v:textbox style="mso-next-textbox:#_x0000_s2061" inset="0,0,0,0">
                <w:txbxContent>
                  <w:p w:rsidR="00AA6B5E" w:rsidRDefault="00AA6B5E" w:rsidP="00AA6B5E">
                    <w:pPr>
                      <w:pStyle w:val="a6"/>
                    </w:pPr>
                    <w:r>
                      <w:rPr>
                        <w:rFonts w:hint="eastAsia"/>
                      </w:rPr>
                      <w:t>图豆油月度进口量（单位：万吨）</w:t>
                    </w:r>
                  </w:p>
                  <w:p w:rsidR="00AA6B5E" w:rsidRPr="00173465" w:rsidRDefault="00AA6B5E" w:rsidP="00AA6B5E">
                    <w:pPr>
                      <w:jc w:val="center"/>
                    </w:pPr>
                    <w:r>
                      <w:rPr>
                        <w:noProof/>
                      </w:rPr>
                      <w:drawing>
                        <wp:inline distT="0" distB="0" distL="0" distR="0">
                          <wp:extent cx="3023534" cy="2122098"/>
                          <wp:effectExtent l="19050" t="0" r="5416" b="0"/>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036049" cy="2130882"/>
                                  </a:xfrm>
                                  <a:prstGeom prst="rect">
                                    <a:avLst/>
                                  </a:prstGeom>
                                  <a:noFill/>
                                  <a:ln w="9525">
                                    <a:noFill/>
                                    <a:miter lim="800000"/>
                                    <a:headEnd/>
                                    <a:tailEnd/>
                                  </a:ln>
                                </pic:spPr>
                              </pic:pic>
                            </a:graphicData>
                          </a:graphic>
                        </wp:inline>
                      </w:drawing>
                    </w:r>
                  </w:p>
                </w:txbxContent>
              </v:textbox>
            </v:shape>
          </v:group>
        </w:pict>
      </w: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r>
        <w:rPr>
          <w:rFonts w:hint="eastAsia"/>
        </w:rPr>
        <w:t>除了供应压力以外，在8月份发挥了重要作用的成本支撑在9月份却难以提供助力。首先无论期价还是现价，已经脱离了刚性成本6900区间，暂时是难以依托该区间来进行交易指导的。</w:t>
      </w:r>
    </w:p>
    <w:p w:rsidR="00AA6B5E" w:rsidRDefault="00AA6B5E" w:rsidP="00AA6B5E">
      <w:pPr>
        <w:pStyle w:val="a0"/>
      </w:pPr>
      <w:r>
        <w:rPr>
          <w:rFonts w:hint="eastAsia"/>
        </w:rPr>
        <w:t>而从实际折油成本来看，我们知道外资及大型油厂的套保及价格制定策略是按照点价来计算油粕价格来作为成本及指导价的。从8月期间的报告统计我们可以知道，在CBOT美豆价格1200-1300左右时，国内点价购买了大量船期，而这一部分的成本折算后就是我们前面提到的刚性成本支撑区间6900一带（本身的刚性成本测算就是以1200美分为标的的）。即便按照美豆1300美分来计算，豆油成本折算也在7300-7400一带。</w:t>
      </w:r>
    </w:p>
    <w:p w:rsidR="00AA6B5E" w:rsidRDefault="00AA6B5E" w:rsidP="00AA6B5E">
      <w:pPr>
        <w:pStyle w:val="a0"/>
      </w:pPr>
      <w:r>
        <w:rPr>
          <w:rFonts w:hint="eastAsia"/>
        </w:rPr>
        <w:t>另外，从进口豆油成本来看，主力阿根廷豆油在8月份的成本区间主要在7200-7300区间，对于目前国内的豆油供应市场来说，这个成本仅能维持一定的抗跌性支撑，却暂时难以提供进一步向上的动力。</w:t>
      </w:r>
    </w:p>
    <w:p w:rsidR="00AA6B5E" w:rsidRDefault="00AA6B5E" w:rsidP="00AA6B5E">
      <w:pPr>
        <w:pStyle w:val="a0"/>
        <w:ind w:leftChars="0" w:left="0" w:firstLineChars="0" w:firstLine="0"/>
      </w:pPr>
      <w:r>
        <w:rPr>
          <w:noProof/>
        </w:rPr>
        <w:pict>
          <v:group id="_x0000_s2053" style="position:absolute;left:0;text-align:left;margin-left:-2.1pt;margin-top:7.6pt;width:498.75pt;height:187.2pt;z-index:251661312" coordorigin="1854,11090" coordsize="9720,3744">
            <v:shape id="_x0000_s2054" type="#_x0000_t202" style="position:absolute;left:6714;top:11090;width:4860;height:3744;mso-wrap-edited:f" strokecolor="silver" strokeweight=".5pt">
              <v:stroke dashstyle="1 1" endcap="round"/>
              <v:textbox style="mso-next-textbox:#_x0000_s2054" inset="0,0,0,0">
                <w:txbxContent>
                  <w:p w:rsidR="00AA6B5E" w:rsidRPr="0080358F" w:rsidRDefault="00AA6B5E" w:rsidP="00AA6B5E">
                    <w:pPr>
                      <w:pStyle w:val="a6"/>
                    </w:pPr>
                    <w:r>
                      <w:rPr>
                        <w:rFonts w:hint="eastAsia"/>
                      </w:rPr>
                      <w:t>图进口豆油成本</w:t>
                    </w:r>
                  </w:p>
                  <w:p w:rsidR="00AA6B5E" w:rsidRPr="00E04DFA" w:rsidRDefault="00AA6B5E" w:rsidP="00AA6B5E">
                    <w:pPr>
                      <w:jc w:val="center"/>
                    </w:pPr>
                    <w:r w:rsidRPr="00001B34">
                      <w:rPr>
                        <w:noProof/>
                      </w:rPr>
                      <w:drawing>
                        <wp:inline distT="0" distB="0" distL="0" distR="0">
                          <wp:extent cx="3067050" cy="2095500"/>
                          <wp:effectExtent l="19050" t="0" r="0" b="0"/>
                          <wp:docPr id="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3067050" cy="2095500"/>
                                  </a:xfrm>
                                  <a:prstGeom prst="rect">
                                    <a:avLst/>
                                  </a:prstGeom>
                                  <a:noFill/>
                                  <a:ln w="9525">
                                    <a:noFill/>
                                    <a:miter lim="800000"/>
                                    <a:headEnd/>
                                    <a:tailEnd/>
                                  </a:ln>
                                </pic:spPr>
                              </pic:pic>
                            </a:graphicData>
                          </a:graphic>
                        </wp:inline>
                      </w:drawing>
                    </w:r>
                  </w:p>
                </w:txbxContent>
              </v:textbox>
            </v:shape>
            <v:shape id="_x0000_s2055" type="#_x0000_t202" style="position:absolute;left:1854;top:11090;width:4860;height:3744;mso-wrap-edited:f" strokecolor="silver" strokeweight=".5pt">
              <v:stroke dashstyle="1 1" endcap="round"/>
              <v:textbox style="mso-next-textbox:#_x0000_s2055" inset="0,0,0,0">
                <w:txbxContent>
                  <w:p w:rsidR="00AA6B5E" w:rsidRPr="0080358F" w:rsidRDefault="00AA6B5E" w:rsidP="00AA6B5E">
                    <w:pPr>
                      <w:pStyle w:val="a6"/>
                    </w:pPr>
                    <w:r>
                      <w:rPr>
                        <w:rFonts w:hint="eastAsia"/>
                      </w:rPr>
                      <w:t>图豆油期价、成本区间对比</w:t>
                    </w:r>
                  </w:p>
                  <w:p w:rsidR="00AA6B5E" w:rsidRDefault="00AA6B5E" w:rsidP="00AA6B5E">
                    <w:pPr>
                      <w:jc w:val="center"/>
                    </w:pPr>
                    <w:r>
                      <w:rPr>
                        <w:noProof/>
                      </w:rPr>
                      <w:drawing>
                        <wp:inline distT="0" distB="0" distL="0" distR="0">
                          <wp:extent cx="3095625" cy="2076450"/>
                          <wp:effectExtent l="19050" t="0" r="9525" b="0"/>
                          <wp:docPr id="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3101087" cy="2080114"/>
                                  </a:xfrm>
                                  <a:prstGeom prst="rect">
                                    <a:avLst/>
                                  </a:prstGeom>
                                  <a:noFill/>
                                  <a:ln w="9525">
                                    <a:noFill/>
                                    <a:miter lim="800000"/>
                                    <a:headEnd/>
                                    <a:tailEnd/>
                                  </a:ln>
                                </pic:spPr>
                              </pic:pic>
                            </a:graphicData>
                          </a:graphic>
                        </wp:inline>
                      </w:drawing>
                    </w:r>
                  </w:p>
                </w:txbxContent>
              </v:textbox>
            </v:shape>
          </v:group>
        </w:pict>
      </w: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r>
        <w:rPr>
          <w:rFonts w:hint="eastAsia"/>
        </w:rPr>
        <w:t>最后，我们整理一下8月份以来的</w:t>
      </w:r>
      <w:r w:rsidRPr="00EB6E45">
        <w:rPr>
          <w:rFonts w:hint="eastAsia"/>
          <w:b/>
        </w:rPr>
        <w:t>资金动向</w:t>
      </w:r>
      <w:r>
        <w:rPr>
          <w:rFonts w:hint="eastAsia"/>
        </w:rPr>
        <w:t>。</w:t>
      </w:r>
    </w:p>
    <w:p w:rsidR="00AA6B5E" w:rsidRDefault="00AA6B5E" w:rsidP="00AA6B5E">
      <w:pPr>
        <w:pStyle w:val="a0"/>
      </w:pPr>
      <w:r>
        <w:rPr>
          <w:rFonts w:hint="eastAsia"/>
        </w:rPr>
        <w:t>8月份的资金流表现的相对混乱，从8月初价格触及开始，多头主力拿下了最好的底部区间，依托6900成本多头第一战线，这在过往几年的行情中是比较少见的精准。但比较遗憾的是本轮的反弹尽管豆油幅度不大，但是美豆姿态凌厉，屡次出现跳空大幅拉升的行情，这些造成了筑底行为不够从容。在7000向7100跳空的过程中，二线成本7050尚可，但是在7300区间的主力布局却不够扎实，中间悬空的200个点位相对而言存在回探可能。</w:t>
      </w:r>
    </w:p>
    <w:p w:rsidR="00AA6B5E" w:rsidRDefault="00AA6B5E" w:rsidP="00AA6B5E">
      <w:pPr>
        <w:pStyle w:val="a0"/>
      </w:pPr>
      <w:r>
        <w:rPr>
          <w:rFonts w:hint="eastAsia"/>
        </w:rPr>
        <w:t>但更重要的是，在期价上破7300向7500运行的同时，美豆遭遇1400美分的重要关口，外盘的技术性主动回撤投射到国内的同时，投机多头主力资金在7300没有站稳，而空头资金也并没有积极入场，7300一线便成为反复震荡区域，上行7500一线存压，下行7050-7100存支撑。</w:t>
      </w:r>
    </w:p>
    <w:p w:rsidR="00AA6B5E" w:rsidRPr="004972BB" w:rsidRDefault="00AA6B5E" w:rsidP="00AA6B5E">
      <w:pPr>
        <w:pStyle w:val="a0"/>
      </w:pPr>
      <w:r>
        <w:rPr>
          <w:rFonts w:hint="eastAsia"/>
        </w:rPr>
        <w:t>另一方面，8月份点价的油厂具备更加主动的成本区间，7400--7500完全具备吸引套保盘的条件，那么分界线就是美豆1400美分的确定突破，</w:t>
      </w:r>
      <w:r>
        <w:rPr>
          <w:rFonts w:hint="eastAsia"/>
        </w:rPr>
        <w:lastRenderedPageBreak/>
        <w:t>价格一旦二次突破失败，套保盘施压下，价格会再度回落。相反，美豆一旦确定突破1400美分，向1450乃至1500逼近，那么套保盘撤离以及投机资金借助7300踩稳支撑，豆油1401合约将会逼向7800-8000区间。而从我们上文的分析来看，美豆破1400美分的可能性很大，而鉴于内盘9月油脂相对疲软来看，目标区间的下线7800是比较可能的位置。</w:t>
      </w:r>
    </w:p>
    <w:p w:rsidR="00AA6B5E" w:rsidRDefault="00AA6B5E" w:rsidP="00AA6B5E">
      <w:pPr>
        <w:pStyle w:val="a0"/>
      </w:pPr>
    </w:p>
    <w:p w:rsidR="00AA6B5E" w:rsidRDefault="00AA6B5E" w:rsidP="00AA6B5E">
      <w:pPr>
        <w:pStyle w:val="a0"/>
      </w:pPr>
      <w:r>
        <w:rPr>
          <w:rFonts w:hint="eastAsia"/>
        </w:rPr>
        <w:t>综合上述分析，我们认为在美豆在9月上中旬仍旧会炒作单产下降的时期，豆油会跟随其进行反弹，但是收获性压力会逐渐体现，而且美豆也并不具备单边大涨的环境。尤其国内市场9月份消费亮点缺失，成本也难以提供强劲助力的情况下，稳定扎实的上涨节奏可能比较困难。市场更多的可能会在套利资金出脱以及美豆破1400压力等因素下吸引一定的资金来拉动价格，而一旦没有了持续的外盘拉升带动，内盘豆油会迅速回落。</w:t>
      </w:r>
    </w:p>
    <w:p w:rsidR="00AA6B5E" w:rsidRDefault="00AA6B5E" w:rsidP="00AA6B5E">
      <w:pPr>
        <w:pStyle w:val="a0"/>
      </w:pPr>
      <w:r>
        <w:rPr>
          <w:rFonts w:hint="eastAsia"/>
        </w:rPr>
        <w:t>操作上，投机资金建议中线多单可以继续持有，最低止盈位在7050。上线目标7500及7800。</w:t>
      </w:r>
    </w:p>
    <w:p w:rsidR="00AA6B5E" w:rsidRDefault="00AA6B5E" w:rsidP="00AA6B5E">
      <w:pPr>
        <w:pStyle w:val="a0"/>
      </w:pPr>
      <w:r>
        <w:rPr>
          <w:rFonts w:hint="eastAsia"/>
        </w:rPr>
        <w:t>套保头寸建议关注1400美分，二次突破失败，则依托7400一线少量空头保值（，下方距离刚性成本空间不是很大，因此不建议大量）。突破成功则放弃空头套保，等待7800一线再度介入。</w:t>
      </w:r>
    </w:p>
    <w:p w:rsidR="00AA6B5E" w:rsidRPr="00E51BD3" w:rsidRDefault="00AA6B5E" w:rsidP="00AA6B5E">
      <w:pPr>
        <w:pBdr>
          <w:top w:val="single" w:sz="4" w:space="1" w:color="auto"/>
          <w:left w:val="single" w:sz="24" w:space="4" w:color="auto"/>
          <w:bottom w:val="single" w:sz="4" w:space="1" w:color="auto"/>
        </w:pBdr>
        <w:shd w:val="clear" w:color="auto" w:fill="C6D9F1" w:themeFill="text2" w:themeFillTint="33"/>
        <w:spacing w:before="480" w:after="240" w:line="360" w:lineRule="auto"/>
        <w:ind w:leftChars="1000" w:left="2100"/>
        <w:jc w:val="left"/>
        <w:outlineLvl w:val="0"/>
        <w:rPr>
          <w:b/>
          <w:kern w:val="44"/>
          <w:sz w:val="24"/>
          <w:szCs w:val="44"/>
        </w:rPr>
      </w:pPr>
      <w:r>
        <w:rPr>
          <w:rFonts w:hint="eastAsia"/>
          <w:b/>
          <w:kern w:val="44"/>
          <w:sz w:val="24"/>
          <w:szCs w:val="44"/>
        </w:rPr>
        <w:t>棕榈油：消费旺季逐渐结束，棕榈油压力增加</w:t>
      </w:r>
    </w:p>
    <w:p w:rsidR="00AA6B5E" w:rsidRDefault="00AA6B5E" w:rsidP="00AA6B5E">
      <w:pPr>
        <w:spacing w:line="276" w:lineRule="auto"/>
        <w:ind w:leftChars="900" w:left="1890" w:firstLineChars="200" w:firstLine="422"/>
        <w:rPr>
          <w:b/>
          <w:szCs w:val="20"/>
        </w:rPr>
      </w:pPr>
      <w:r>
        <w:rPr>
          <w:rFonts w:hint="eastAsia"/>
          <w:b/>
          <w:szCs w:val="20"/>
        </w:rPr>
        <w:t>马来西亚棕榈油供需格局在</w:t>
      </w:r>
      <w:r>
        <w:rPr>
          <w:rFonts w:hint="eastAsia"/>
          <w:b/>
          <w:szCs w:val="20"/>
        </w:rPr>
        <w:t>9</w:t>
      </w:r>
      <w:r>
        <w:rPr>
          <w:rFonts w:hint="eastAsia"/>
          <w:b/>
          <w:szCs w:val="20"/>
        </w:rPr>
        <w:t>月份会更加宽松，并对</w:t>
      </w:r>
      <w:r>
        <w:rPr>
          <w:rFonts w:hint="eastAsia"/>
          <w:b/>
          <w:szCs w:val="20"/>
        </w:rPr>
        <w:t>BMD</w:t>
      </w:r>
      <w:r>
        <w:rPr>
          <w:rFonts w:hint="eastAsia"/>
          <w:b/>
          <w:szCs w:val="20"/>
        </w:rPr>
        <w:t>棕榈油施加压力。</w:t>
      </w:r>
    </w:p>
    <w:p w:rsidR="00AA6B5E" w:rsidRDefault="00AA6B5E" w:rsidP="00AA6B5E">
      <w:pPr>
        <w:spacing w:line="276" w:lineRule="auto"/>
        <w:ind w:leftChars="900" w:left="1890" w:firstLineChars="200" w:firstLine="420"/>
        <w:rPr>
          <w:szCs w:val="20"/>
        </w:rPr>
      </w:pPr>
      <w:r>
        <w:rPr>
          <w:rFonts w:hint="eastAsia"/>
          <w:szCs w:val="20"/>
        </w:rPr>
        <w:t>BMD</w:t>
      </w:r>
      <w:r>
        <w:rPr>
          <w:rFonts w:hint="eastAsia"/>
          <w:szCs w:val="20"/>
        </w:rPr>
        <w:t>棕榈油在</w:t>
      </w:r>
      <w:r>
        <w:rPr>
          <w:rFonts w:hint="eastAsia"/>
          <w:szCs w:val="20"/>
        </w:rPr>
        <w:t>8</w:t>
      </w:r>
      <w:r>
        <w:rPr>
          <w:rFonts w:hint="eastAsia"/>
          <w:szCs w:val="20"/>
        </w:rPr>
        <w:t>月份的一个重要关注点就是出口存在亮点并对期价形成支撑。这一利好因素配合同期豆类商品对天气及单产下调的炒作，一同展开低位反弹行情，马棕油指数从</w:t>
      </w:r>
      <w:r>
        <w:rPr>
          <w:rFonts w:hint="eastAsia"/>
          <w:szCs w:val="20"/>
        </w:rPr>
        <w:t>2155</w:t>
      </w:r>
      <w:r>
        <w:rPr>
          <w:rFonts w:hint="eastAsia"/>
          <w:szCs w:val="20"/>
        </w:rPr>
        <w:t>令吉的低位反弹至</w:t>
      </w:r>
      <w:r>
        <w:rPr>
          <w:rFonts w:hint="eastAsia"/>
          <w:szCs w:val="20"/>
        </w:rPr>
        <w:t>2450</w:t>
      </w:r>
      <w:r>
        <w:rPr>
          <w:rFonts w:hint="eastAsia"/>
          <w:szCs w:val="20"/>
        </w:rPr>
        <w:t>令吉以上，基本已经回归近两年以来的交易区间上方位置。</w:t>
      </w:r>
    </w:p>
    <w:p w:rsidR="00AA6B5E" w:rsidRDefault="00AA6B5E" w:rsidP="00AA6B5E">
      <w:pPr>
        <w:spacing w:line="276" w:lineRule="auto"/>
        <w:ind w:leftChars="900" w:left="1890" w:firstLineChars="200" w:firstLine="420"/>
        <w:rPr>
          <w:szCs w:val="20"/>
        </w:rPr>
      </w:pPr>
      <w:r>
        <w:rPr>
          <w:rFonts w:hint="eastAsia"/>
          <w:szCs w:val="20"/>
        </w:rPr>
        <w:t>然而出口利好刺激价格反弹并趋向</w:t>
      </w:r>
      <w:r>
        <w:rPr>
          <w:rFonts w:hint="eastAsia"/>
          <w:szCs w:val="20"/>
        </w:rPr>
        <w:t>6</w:t>
      </w:r>
      <w:r>
        <w:rPr>
          <w:rFonts w:hint="eastAsia"/>
          <w:szCs w:val="20"/>
        </w:rPr>
        <w:t>月高点的同时，市场并不具备更进一步的动能来支撑价格继续上行。因为在</w:t>
      </w:r>
      <w:r>
        <w:rPr>
          <w:rFonts w:hint="eastAsia"/>
          <w:szCs w:val="20"/>
        </w:rPr>
        <w:t>9</w:t>
      </w:r>
      <w:r>
        <w:rPr>
          <w:rFonts w:hint="eastAsia"/>
          <w:szCs w:val="20"/>
        </w:rPr>
        <w:t>月份，我们认为出口增速会下降。</w:t>
      </w:r>
    </w:p>
    <w:p w:rsidR="00AA6B5E" w:rsidRDefault="00AA6B5E" w:rsidP="00AA6B5E">
      <w:pPr>
        <w:spacing w:line="276" w:lineRule="auto"/>
        <w:ind w:leftChars="900" w:left="1890" w:firstLineChars="200" w:firstLine="420"/>
        <w:rPr>
          <w:szCs w:val="20"/>
        </w:rPr>
      </w:pPr>
      <w:r>
        <w:rPr>
          <w:rFonts w:hint="eastAsia"/>
          <w:szCs w:val="20"/>
        </w:rPr>
        <w:t>此前，我们对棕榈油出口将会创佳绩的分析基于两点，一是主要的需求大国印度以及中国都有旺季备货需求，而同时</w:t>
      </w:r>
      <w:r>
        <w:rPr>
          <w:rFonts w:hint="eastAsia"/>
          <w:szCs w:val="20"/>
        </w:rPr>
        <w:t>BMD</w:t>
      </w:r>
      <w:r>
        <w:rPr>
          <w:rFonts w:hint="eastAsia"/>
          <w:szCs w:val="20"/>
        </w:rPr>
        <w:t>棕榈油价格处于阶段性低位，也具备吸引买家兴趣的条件。但是到</w:t>
      </w:r>
      <w:r>
        <w:rPr>
          <w:rFonts w:hint="eastAsia"/>
          <w:szCs w:val="20"/>
        </w:rPr>
        <w:t>9</w:t>
      </w:r>
      <w:r>
        <w:rPr>
          <w:rFonts w:hint="eastAsia"/>
          <w:szCs w:val="20"/>
        </w:rPr>
        <w:t>月份，此前的备货需求已经有所消化的情况下，印度财政部出台政策，该国毛棕油基准进口价格从每吨</w:t>
      </w:r>
      <w:r>
        <w:rPr>
          <w:rFonts w:hint="eastAsia"/>
          <w:szCs w:val="20"/>
        </w:rPr>
        <w:t>808</w:t>
      </w:r>
      <w:r>
        <w:rPr>
          <w:rFonts w:hint="eastAsia"/>
          <w:szCs w:val="20"/>
        </w:rPr>
        <w:t>美元上调至</w:t>
      </w:r>
      <w:r>
        <w:rPr>
          <w:rFonts w:hint="eastAsia"/>
          <w:szCs w:val="20"/>
        </w:rPr>
        <w:t>833</w:t>
      </w:r>
      <w:r>
        <w:rPr>
          <w:rFonts w:hint="eastAsia"/>
          <w:szCs w:val="20"/>
        </w:rPr>
        <w:t>美元，</w:t>
      </w:r>
      <w:r>
        <w:rPr>
          <w:rFonts w:hint="eastAsia"/>
          <w:szCs w:val="20"/>
        </w:rPr>
        <w:t>24</w:t>
      </w:r>
      <w:r>
        <w:rPr>
          <w:rFonts w:hint="eastAsia"/>
          <w:szCs w:val="20"/>
        </w:rPr>
        <w:t>°棕榈油基准进口价格从每吨</w:t>
      </w:r>
      <w:r>
        <w:rPr>
          <w:rFonts w:hint="eastAsia"/>
          <w:szCs w:val="20"/>
        </w:rPr>
        <w:t>857</w:t>
      </w:r>
      <w:r>
        <w:rPr>
          <w:rFonts w:hint="eastAsia"/>
          <w:szCs w:val="20"/>
        </w:rPr>
        <w:t>美元上调至</w:t>
      </w:r>
      <w:r>
        <w:rPr>
          <w:rFonts w:hint="eastAsia"/>
          <w:szCs w:val="20"/>
        </w:rPr>
        <w:t>882</w:t>
      </w:r>
      <w:r>
        <w:rPr>
          <w:rFonts w:hint="eastAsia"/>
          <w:szCs w:val="20"/>
        </w:rPr>
        <w:t>美元。毫无疑问，价格上调将会削减印度对棕榈油的进口量。而另一个需求大国中国对于棕榈油的需求高峰期也即将结束，可以说中秋季备货是其消费旺季的最后一站。</w:t>
      </w:r>
    </w:p>
    <w:p w:rsidR="00AA6B5E" w:rsidRDefault="00AA6B5E" w:rsidP="00AA6B5E">
      <w:pPr>
        <w:spacing w:line="276" w:lineRule="auto"/>
        <w:ind w:leftChars="900" w:left="1890" w:firstLineChars="200" w:firstLine="420"/>
        <w:rPr>
          <w:szCs w:val="20"/>
        </w:rPr>
      </w:pPr>
      <w:r>
        <w:rPr>
          <w:rFonts w:hint="eastAsia"/>
          <w:szCs w:val="20"/>
        </w:rPr>
        <w:t>而分析的第二点，</w:t>
      </w:r>
      <w:r>
        <w:rPr>
          <w:rFonts w:hint="eastAsia"/>
          <w:szCs w:val="20"/>
        </w:rPr>
        <w:t>8</w:t>
      </w:r>
      <w:r>
        <w:rPr>
          <w:rFonts w:hint="eastAsia"/>
          <w:szCs w:val="20"/>
        </w:rPr>
        <w:t>月份出口数据漂亮的一个基础是</w:t>
      </w:r>
      <w:r>
        <w:rPr>
          <w:rFonts w:hint="eastAsia"/>
          <w:szCs w:val="20"/>
        </w:rPr>
        <w:t>7</w:t>
      </w:r>
      <w:r>
        <w:rPr>
          <w:rFonts w:hint="eastAsia"/>
          <w:szCs w:val="20"/>
        </w:rPr>
        <w:t>月份数据不佳，</w:t>
      </w:r>
      <w:r>
        <w:rPr>
          <w:rFonts w:hint="eastAsia"/>
          <w:szCs w:val="20"/>
        </w:rPr>
        <w:lastRenderedPageBreak/>
        <w:t>因此，环比增加数据能够得到较好的效果。那么到</w:t>
      </w:r>
      <w:r>
        <w:rPr>
          <w:rFonts w:hint="eastAsia"/>
          <w:szCs w:val="20"/>
        </w:rPr>
        <w:t>9</w:t>
      </w:r>
      <w:r>
        <w:rPr>
          <w:rFonts w:hint="eastAsia"/>
          <w:szCs w:val="20"/>
        </w:rPr>
        <w:t>月份，在</w:t>
      </w:r>
      <w:r>
        <w:rPr>
          <w:rFonts w:hint="eastAsia"/>
          <w:szCs w:val="20"/>
        </w:rPr>
        <w:t>8</w:t>
      </w:r>
      <w:r>
        <w:rPr>
          <w:rFonts w:hint="eastAsia"/>
          <w:szCs w:val="20"/>
        </w:rPr>
        <w:t>月出口良好的基础上，同时又缺失实质的需求增幅，我们认为</w:t>
      </w:r>
      <w:r>
        <w:rPr>
          <w:rFonts w:hint="eastAsia"/>
          <w:szCs w:val="20"/>
        </w:rPr>
        <w:t>9</w:t>
      </w:r>
      <w:r>
        <w:rPr>
          <w:rFonts w:hint="eastAsia"/>
          <w:szCs w:val="20"/>
        </w:rPr>
        <w:t>月份的棕榈油出口市场要想有良好的表现是比较困难的。</w:t>
      </w:r>
    </w:p>
    <w:p w:rsidR="00AA6B5E" w:rsidRDefault="00AA6B5E" w:rsidP="00AA6B5E">
      <w:pPr>
        <w:spacing w:line="276" w:lineRule="auto"/>
        <w:ind w:leftChars="900" w:left="1890" w:firstLineChars="200" w:firstLine="420"/>
        <w:rPr>
          <w:szCs w:val="20"/>
        </w:rPr>
      </w:pPr>
    </w:p>
    <w:p w:rsidR="00AA6B5E" w:rsidRDefault="00AA6B5E" w:rsidP="00AA6B5E">
      <w:pPr>
        <w:spacing w:line="276" w:lineRule="auto"/>
        <w:ind w:leftChars="900" w:left="1890" w:firstLineChars="200" w:firstLine="420"/>
        <w:rPr>
          <w:szCs w:val="20"/>
        </w:rPr>
      </w:pPr>
      <w:r>
        <w:rPr>
          <w:rFonts w:hint="eastAsia"/>
          <w:szCs w:val="20"/>
        </w:rPr>
        <w:t>出口或许平平，但是供应却会继续施加压力。众所周知棕榈油的产量高峰期是每年的</w:t>
      </w:r>
      <w:r>
        <w:rPr>
          <w:rFonts w:hint="eastAsia"/>
          <w:szCs w:val="20"/>
        </w:rPr>
        <w:t>4</w:t>
      </w:r>
      <w:r>
        <w:rPr>
          <w:rFonts w:hint="eastAsia"/>
          <w:szCs w:val="20"/>
        </w:rPr>
        <w:t>月到</w:t>
      </w:r>
      <w:r>
        <w:rPr>
          <w:rFonts w:hint="eastAsia"/>
          <w:szCs w:val="20"/>
        </w:rPr>
        <w:t>11</w:t>
      </w:r>
      <w:r>
        <w:rPr>
          <w:rFonts w:hint="eastAsia"/>
          <w:szCs w:val="20"/>
        </w:rPr>
        <w:t>月，而在这其中，</w:t>
      </w:r>
      <w:r>
        <w:rPr>
          <w:rFonts w:hint="eastAsia"/>
          <w:szCs w:val="20"/>
        </w:rPr>
        <w:t>7</w:t>
      </w:r>
      <w:r>
        <w:rPr>
          <w:rFonts w:hint="eastAsia"/>
          <w:szCs w:val="20"/>
        </w:rPr>
        <w:t>月到</w:t>
      </w:r>
      <w:r>
        <w:rPr>
          <w:rFonts w:hint="eastAsia"/>
          <w:szCs w:val="20"/>
        </w:rPr>
        <w:t>10</w:t>
      </w:r>
      <w:r>
        <w:rPr>
          <w:rFonts w:hint="eastAsia"/>
          <w:szCs w:val="20"/>
        </w:rPr>
        <w:t>月又是高峰之中的高峰。从今年的产量来看，</w:t>
      </w:r>
      <w:r>
        <w:rPr>
          <w:rFonts w:hint="eastAsia"/>
          <w:szCs w:val="20"/>
        </w:rPr>
        <w:t>7</w:t>
      </w:r>
      <w:r>
        <w:rPr>
          <w:rFonts w:hint="eastAsia"/>
          <w:szCs w:val="20"/>
        </w:rPr>
        <w:t>月份马来西亚棕榈油产量同比增幅达到</w:t>
      </w:r>
      <w:r>
        <w:rPr>
          <w:rFonts w:hint="eastAsia"/>
          <w:szCs w:val="20"/>
        </w:rPr>
        <w:t>18%</w:t>
      </w:r>
      <w:r>
        <w:rPr>
          <w:rFonts w:hint="eastAsia"/>
          <w:szCs w:val="20"/>
        </w:rPr>
        <w:t>，正式拉开产量飙升的序幕，而业内预计来看，从</w:t>
      </w:r>
      <w:r>
        <w:rPr>
          <w:rFonts w:hint="eastAsia"/>
          <w:szCs w:val="20"/>
        </w:rPr>
        <w:t>8</w:t>
      </w:r>
      <w:r>
        <w:rPr>
          <w:rFonts w:hint="eastAsia"/>
          <w:szCs w:val="20"/>
        </w:rPr>
        <w:t>月份起马来西亚产量增幅仍将继续呈现两位数的增速。那么即便按照</w:t>
      </w:r>
      <w:r>
        <w:rPr>
          <w:rFonts w:hint="eastAsia"/>
          <w:szCs w:val="20"/>
        </w:rPr>
        <w:t>11%</w:t>
      </w:r>
      <w:r>
        <w:rPr>
          <w:rFonts w:hint="eastAsia"/>
          <w:szCs w:val="20"/>
        </w:rPr>
        <w:t>来计算，</w:t>
      </w:r>
      <w:r>
        <w:rPr>
          <w:rFonts w:hint="eastAsia"/>
          <w:szCs w:val="20"/>
        </w:rPr>
        <w:t>8</w:t>
      </w:r>
      <w:r>
        <w:rPr>
          <w:rFonts w:hint="eastAsia"/>
          <w:szCs w:val="20"/>
        </w:rPr>
        <w:t>月份马来西亚产量也将会达到</w:t>
      </w:r>
      <w:r>
        <w:rPr>
          <w:rFonts w:hint="eastAsia"/>
          <w:szCs w:val="20"/>
        </w:rPr>
        <w:t>186</w:t>
      </w:r>
      <w:r>
        <w:rPr>
          <w:rFonts w:hint="eastAsia"/>
          <w:szCs w:val="20"/>
        </w:rPr>
        <w:t>万吨左右，并在</w:t>
      </w:r>
      <w:r>
        <w:rPr>
          <w:rFonts w:hint="eastAsia"/>
          <w:szCs w:val="20"/>
        </w:rPr>
        <w:t>9</w:t>
      </w:r>
      <w:r>
        <w:rPr>
          <w:rFonts w:hint="eastAsia"/>
          <w:szCs w:val="20"/>
        </w:rPr>
        <w:t>月份达到峰值</w:t>
      </w:r>
      <w:r>
        <w:rPr>
          <w:rFonts w:hint="eastAsia"/>
          <w:szCs w:val="20"/>
        </w:rPr>
        <w:t>206</w:t>
      </w:r>
      <w:r>
        <w:rPr>
          <w:rFonts w:hint="eastAsia"/>
          <w:szCs w:val="20"/>
        </w:rPr>
        <w:t>万吨以上。</w:t>
      </w:r>
    </w:p>
    <w:p w:rsidR="00AA6B5E" w:rsidRDefault="00AA6B5E" w:rsidP="00AA6B5E">
      <w:pPr>
        <w:spacing w:line="276" w:lineRule="auto"/>
        <w:ind w:leftChars="900" w:left="1890" w:firstLineChars="200" w:firstLine="420"/>
        <w:rPr>
          <w:szCs w:val="20"/>
        </w:rPr>
      </w:pPr>
      <w:r>
        <w:rPr>
          <w:rFonts w:hint="eastAsia"/>
          <w:szCs w:val="20"/>
        </w:rPr>
        <w:t>那么，尽管</w:t>
      </w:r>
      <w:r>
        <w:rPr>
          <w:rFonts w:hint="eastAsia"/>
          <w:szCs w:val="20"/>
        </w:rPr>
        <w:t>8</w:t>
      </w:r>
      <w:r>
        <w:rPr>
          <w:rFonts w:hint="eastAsia"/>
          <w:szCs w:val="20"/>
        </w:rPr>
        <w:t>月份市场在利好出口的带动下有所反弹，但是从市场关注的焦点马来棕榈油局发布的月度供需报告角度来看，一方面是出口</w:t>
      </w:r>
      <w:r>
        <w:rPr>
          <w:rFonts w:hint="eastAsia"/>
          <w:szCs w:val="20"/>
        </w:rPr>
        <w:t>149</w:t>
      </w:r>
      <w:r>
        <w:rPr>
          <w:rFonts w:hint="eastAsia"/>
          <w:szCs w:val="20"/>
        </w:rPr>
        <w:t>万吨的预估，同比增幅</w:t>
      </w:r>
      <w:r>
        <w:rPr>
          <w:rFonts w:hint="eastAsia"/>
          <w:szCs w:val="20"/>
        </w:rPr>
        <w:t>7%</w:t>
      </w:r>
      <w:r>
        <w:rPr>
          <w:rFonts w:hint="eastAsia"/>
          <w:szCs w:val="20"/>
        </w:rPr>
        <w:t>左右，另一方面是产量达到</w:t>
      </w:r>
      <w:r>
        <w:rPr>
          <w:rFonts w:hint="eastAsia"/>
          <w:szCs w:val="20"/>
        </w:rPr>
        <w:t>186</w:t>
      </w:r>
      <w:r>
        <w:rPr>
          <w:rFonts w:hint="eastAsia"/>
          <w:szCs w:val="20"/>
        </w:rPr>
        <w:t>万吨左右，同比增幅</w:t>
      </w:r>
      <w:r>
        <w:rPr>
          <w:rFonts w:hint="eastAsia"/>
          <w:szCs w:val="20"/>
        </w:rPr>
        <w:t>10%</w:t>
      </w:r>
      <w:r>
        <w:rPr>
          <w:rFonts w:hint="eastAsia"/>
          <w:szCs w:val="20"/>
        </w:rPr>
        <w:t>以上。可以预计，月末库存很有可能会继续攀升，并对价格产生压力。因此，预计</w:t>
      </w:r>
      <w:r>
        <w:rPr>
          <w:rFonts w:hint="eastAsia"/>
          <w:szCs w:val="20"/>
        </w:rPr>
        <w:t>9</w:t>
      </w:r>
      <w:r>
        <w:rPr>
          <w:rFonts w:hint="eastAsia"/>
          <w:szCs w:val="20"/>
        </w:rPr>
        <w:t>月</w:t>
      </w:r>
      <w:r>
        <w:rPr>
          <w:rFonts w:hint="eastAsia"/>
          <w:szCs w:val="20"/>
        </w:rPr>
        <w:t>10</w:t>
      </w:r>
      <w:r>
        <w:rPr>
          <w:rFonts w:hint="eastAsia"/>
          <w:szCs w:val="20"/>
        </w:rPr>
        <w:t>日左右，</w:t>
      </w:r>
      <w:r>
        <w:rPr>
          <w:rFonts w:hint="eastAsia"/>
          <w:szCs w:val="20"/>
        </w:rPr>
        <w:t>BMD</w:t>
      </w:r>
      <w:r>
        <w:rPr>
          <w:rFonts w:hint="eastAsia"/>
          <w:szCs w:val="20"/>
        </w:rPr>
        <w:t>市场会承压出现技术性调整。</w:t>
      </w:r>
    </w:p>
    <w:p w:rsidR="00AA6B5E" w:rsidRDefault="00AA6B5E" w:rsidP="00AA6B5E">
      <w:pPr>
        <w:spacing w:line="276" w:lineRule="auto"/>
        <w:ind w:leftChars="900" w:left="1890" w:firstLineChars="200" w:firstLine="420"/>
        <w:rPr>
          <w:szCs w:val="20"/>
        </w:rPr>
      </w:pPr>
      <w:r>
        <w:rPr>
          <w:rFonts w:hint="eastAsia"/>
          <w:szCs w:val="20"/>
        </w:rPr>
        <w:t>而到</w:t>
      </w:r>
      <w:r>
        <w:rPr>
          <w:rFonts w:hint="eastAsia"/>
          <w:szCs w:val="20"/>
        </w:rPr>
        <w:t>9</w:t>
      </w:r>
      <w:r>
        <w:rPr>
          <w:rFonts w:hint="eastAsia"/>
          <w:szCs w:val="20"/>
        </w:rPr>
        <w:t>月后期，价格将会在出口缺乏亮点，同期产量继续增加的压力下继续承压。尽管豆类商品会对棕油有所提振，但是棕油相对疲软的宽松格局及价格会得到延续。</w:t>
      </w:r>
      <w:r w:rsidRPr="00925709">
        <w:rPr>
          <w:szCs w:val="20"/>
        </w:rPr>
        <w:t xml:space="preserve"> </w:t>
      </w:r>
    </w:p>
    <w:p w:rsidR="00AA6B5E" w:rsidRPr="00925709" w:rsidRDefault="00AA6B5E" w:rsidP="00AA6B5E">
      <w:pPr>
        <w:spacing w:line="276" w:lineRule="auto"/>
        <w:ind w:leftChars="900" w:left="1890" w:firstLineChars="200" w:firstLine="420"/>
        <w:rPr>
          <w:szCs w:val="20"/>
        </w:rPr>
      </w:pPr>
    </w:p>
    <w:p w:rsidR="00AA6B5E" w:rsidRDefault="00AA6B5E" w:rsidP="00AA6B5E">
      <w:pPr>
        <w:spacing w:line="276" w:lineRule="auto"/>
        <w:ind w:leftChars="900" w:left="1890" w:firstLineChars="200" w:firstLine="422"/>
        <w:rPr>
          <w:b/>
          <w:szCs w:val="20"/>
        </w:rPr>
      </w:pPr>
      <w:r>
        <w:rPr>
          <w:b/>
          <w:noProof/>
          <w:szCs w:val="20"/>
        </w:rPr>
        <w:pict>
          <v:group id="_x0000_s2065" style="position:absolute;left:0;text-align:left;margin-left:8.8pt;margin-top:4.45pt;width:486pt;height:187.2pt;z-index:251665408" coordorigin="1854,11090" coordsize="9720,3744">
            <v:shape id="_x0000_s2066" type="#_x0000_t202" style="position:absolute;left:6714;top:11090;width:4860;height:3744;mso-wrap-edited:f" strokecolor="silver" strokeweight=".5pt">
              <v:stroke dashstyle="1 1" endcap="round"/>
              <v:textbox style="mso-next-textbox:#_x0000_s2066" inset="0,0,0,0">
                <w:txbxContent>
                  <w:p w:rsidR="00AA6B5E" w:rsidRPr="0080358F" w:rsidRDefault="00AA6B5E" w:rsidP="00AA6B5E">
                    <w:pPr>
                      <w:pStyle w:val="a6"/>
                    </w:pPr>
                    <w:r>
                      <w:rPr>
                        <w:rFonts w:hint="eastAsia"/>
                      </w:rPr>
                      <w:t>图马来棕油供需平衡（</w:t>
                    </w:r>
                    <w:r>
                      <w:rPr>
                        <w:rFonts w:hint="eastAsia"/>
                      </w:rPr>
                      <w:t>MPOB</w:t>
                    </w:r>
                    <w:r>
                      <w:rPr>
                        <w:rFonts w:hint="eastAsia"/>
                      </w:rPr>
                      <w:t>）（单位：万吨）</w:t>
                    </w:r>
                  </w:p>
                  <w:p w:rsidR="00AA6B5E" w:rsidRPr="0064778E" w:rsidRDefault="00AA6B5E" w:rsidP="00AA6B5E">
                    <w:pPr>
                      <w:jc w:val="center"/>
                    </w:pPr>
                    <w:r>
                      <w:rPr>
                        <w:noProof/>
                      </w:rPr>
                      <w:drawing>
                        <wp:inline distT="0" distB="0" distL="0" distR="0">
                          <wp:extent cx="2965689" cy="2061713"/>
                          <wp:effectExtent l="19050" t="0" r="6111" b="0"/>
                          <wp:docPr id="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2968678" cy="2063791"/>
                                  </a:xfrm>
                                  <a:prstGeom prst="rect">
                                    <a:avLst/>
                                  </a:prstGeom>
                                  <a:noFill/>
                                  <a:ln w="9525">
                                    <a:noFill/>
                                    <a:miter lim="800000"/>
                                    <a:headEnd/>
                                    <a:tailEnd/>
                                  </a:ln>
                                </pic:spPr>
                              </pic:pic>
                            </a:graphicData>
                          </a:graphic>
                        </wp:inline>
                      </w:drawing>
                    </w:r>
                  </w:p>
                </w:txbxContent>
              </v:textbox>
            </v:shape>
            <v:shape id="_x0000_s2067" type="#_x0000_t202" style="position:absolute;left:1854;top:11090;width:4860;height:3744;mso-wrap-edited:f" strokecolor="silver" strokeweight=".5pt">
              <v:stroke dashstyle="1 1" endcap="round"/>
              <v:textbox style="mso-next-textbox:#_x0000_s2067" inset="0,0,0,0">
                <w:txbxContent>
                  <w:p w:rsidR="00AA6B5E" w:rsidRPr="0080358F" w:rsidRDefault="00AA6B5E" w:rsidP="00AA6B5E">
                    <w:pPr>
                      <w:pStyle w:val="a6"/>
                    </w:pPr>
                    <w:r>
                      <w:rPr>
                        <w:rFonts w:hint="eastAsia"/>
                      </w:rPr>
                      <w:t>图马来西亚棕油出口（</w:t>
                    </w:r>
                    <w:r>
                      <w:rPr>
                        <w:rFonts w:hint="eastAsia"/>
                      </w:rPr>
                      <w:t>ITS</w:t>
                    </w:r>
                    <w:r>
                      <w:rPr>
                        <w:rFonts w:hint="eastAsia"/>
                      </w:rPr>
                      <w:t>）（单位：万吨）</w:t>
                    </w:r>
                  </w:p>
                  <w:p w:rsidR="00AA6B5E" w:rsidRPr="00925709" w:rsidRDefault="00AA6B5E" w:rsidP="00AA6B5E">
                    <w:pPr>
                      <w:jc w:val="center"/>
                    </w:pPr>
                    <w:r>
                      <w:rPr>
                        <w:noProof/>
                      </w:rPr>
                      <w:drawing>
                        <wp:inline distT="0" distB="0" distL="0" distR="0">
                          <wp:extent cx="3000196" cy="2035834"/>
                          <wp:effectExtent l="19050" t="0" r="0" b="0"/>
                          <wp:docPr id="1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3008456" cy="2041439"/>
                                  </a:xfrm>
                                  <a:prstGeom prst="rect">
                                    <a:avLst/>
                                  </a:prstGeom>
                                  <a:noFill/>
                                  <a:ln w="9525">
                                    <a:noFill/>
                                    <a:miter lim="800000"/>
                                    <a:headEnd/>
                                    <a:tailEnd/>
                                  </a:ln>
                                </pic:spPr>
                              </pic:pic>
                            </a:graphicData>
                          </a:graphic>
                        </wp:inline>
                      </w:drawing>
                    </w:r>
                  </w:p>
                </w:txbxContent>
              </v:textbox>
            </v:shape>
          </v:group>
        </w:pict>
      </w: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r>
        <w:rPr>
          <w:rFonts w:hint="eastAsia"/>
          <w:b/>
          <w:szCs w:val="20"/>
        </w:rPr>
        <w:t>国内市场</w:t>
      </w:r>
    </w:p>
    <w:p w:rsidR="00AA6B5E" w:rsidRPr="00CC0509" w:rsidRDefault="00AA6B5E" w:rsidP="00AA6B5E">
      <w:pPr>
        <w:spacing w:line="276" w:lineRule="auto"/>
        <w:ind w:leftChars="900" w:left="1890" w:firstLineChars="200" w:firstLine="422"/>
        <w:rPr>
          <w:b/>
          <w:szCs w:val="20"/>
        </w:rPr>
      </w:pPr>
      <w:r>
        <w:rPr>
          <w:rFonts w:hint="eastAsia"/>
          <w:b/>
          <w:szCs w:val="20"/>
        </w:rPr>
        <w:t>首先，</w:t>
      </w:r>
      <w:r>
        <w:rPr>
          <w:rFonts w:hint="eastAsia"/>
          <w:b/>
          <w:szCs w:val="20"/>
        </w:rPr>
        <w:t>8</w:t>
      </w:r>
      <w:r>
        <w:rPr>
          <w:rFonts w:hint="eastAsia"/>
          <w:b/>
          <w:szCs w:val="20"/>
        </w:rPr>
        <w:t>月份</w:t>
      </w:r>
      <w:r w:rsidRPr="00CC0509">
        <w:rPr>
          <w:rFonts w:hint="eastAsia"/>
          <w:b/>
          <w:szCs w:val="20"/>
        </w:rPr>
        <w:t>进口量增加</w:t>
      </w:r>
      <w:r>
        <w:rPr>
          <w:rFonts w:hint="eastAsia"/>
          <w:b/>
          <w:szCs w:val="20"/>
        </w:rPr>
        <w:t>，但预计</w:t>
      </w:r>
      <w:r>
        <w:rPr>
          <w:rFonts w:hint="eastAsia"/>
          <w:b/>
          <w:szCs w:val="20"/>
        </w:rPr>
        <w:t>9</w:t>
      </w:r>
      <w:r>
        <w:rPr>
          <w:rFonts w:hint="eastAsia"/>
          <w:b/>
          <w:szCs w:val="20"/>
        </w:rPr>
        <w:t>月进口会减少</w:t>
      </w:r>
    </w:p>
    <w:p w:rsidR="00AA6B5E" w:rsidRDefault="00AA6B5E" w:rsidP="00AA6B5E">
      <w:pPr>
        <w:spacing w:line="276" w:lineRule="auto"/>
        <w:ind w:leftChars="900" w:left="1890" w:firstLineChars="200" w:firstLine="420"/>
        <w:rPr>
          <w:szCs w:val="20"/>
        </w:rPr>
      </w:pPr>
      <w:r>
        <w:rPr>
          <w:rFonts w:hint="eastAsia"/>
          <w:szCs w:val="20"/>
        </w:rPr>
        <w:t>今年</w:t>
      </w:r>
      <w:r>
        <w:rPr>
          <w:rFonts w:hint="eastAsia"/>
          <w:szCs w:val="20"/>
        </w:rPr>
        <w:t>7</w:t>
      </w:r>
      <w:r>
        <w:rPr>
          <w:rFonts w:hint="eastAsia"/>
          <w:szCs w:val="20"/>
        </w:rPr>
        <w:t>月份，国内进口棕榈油</w:t>
      </w:r>
      <w:r>
        <w:rPr>
          <w:rFonts w:hint="eastAsia"/>
          <w:szCs w:val="20"/>
        </w:rPr>
        <w:t>48.8</w:t>
      </w:r>
      <w:r>
        <w:rPr>
          <w:rFonts w:hint="eastAsia"/>
          <w:szCs w:val="20"/>
        </w:rPr>
        <w:t>万吨，环比增加</w:t>
      </w:r>
      <w:r>
        <w:rPr>
          <w:rFonts w:hint="eastAsia"/>
          <w:szCs w:val="20"/>
        </w:rPr>
        <w:t>63.8%</w:t>
      </w:r>
      <w:r>
        <w:rPr>
          <w:rFonts w:hint="eastAsia"/>
          <w:szCs w:val="20"/>
        </w:rPr>
        <w:t>，同比增加</w:t>
      </w:r>
      <w:r>
        <w:rPr>
          <w:rFonts w:hint="eastAsia"/>
          <w:szCs w:val="20"/>
        </w:rPr>
        <w:t>3.3%</w:t>
      </w:r>
      <w:r>
        <w:rPr>
          <w:rFonts w:hint="eastAsia"/>
          <w:szCs w:val="20"/>
        </w:rPr>
        <w:t>。前七个月累计进口</w:t>
      </w:r>
      <w:r>
        <w:rPr>
          <w:rFonts w:hint="eastAsia"/>
          <w:szCs w:val="20"/>
        </w:rPr>
        <w:t>333.7</w:t>
      </w:r>
      <w:r>
        <w:rPr>
          <w:rFonts w:hint="eastAsia"/>
          <w:szCs w:val="20"/>
        </w:rPr>
        <w:t>万吨，同比增加</w:t>
      </w:r>
      <w:r>
        <w:rPr>
          <w:rFonts w:hint="eastAsia"/>
          <w:szCs w:val="20"/>
        </w:rPr>
        <w:t>7.4%</w:t>
      </w:r>
      <w:r>
        <w:rPr>
          <w:rFonts w:hint="eastAsia"/>
          <w:szCs w:val="20"/>
        </w:rPr>
        <w:t>。到</w:t>
      </w:r>
      <w:r>
        <w:rPr>
          <w:rFonts w:hint="eastAsia"/>
          <w:szCs w:val="20"/>
        </w:rPr>
        <w:t>8</w:t>
      </w:r>
      <w:r>
        <w:rPr>
          <w:rFonts w:hint="eastAsia"/>
          <w:szCs w:val="20"/>
        </w:rPr>
        <w:t>月份，我们预计进口量会继续增加，一方面，</w:t>
      </w:r>
      <w:r>
        <w:rPr>
          <w:rFonts w:hint="eastAsia"/>
          <w:szCs w:val="20"/>
        </w:rPr>
        <w:t>8</w:t>
      </w:r>
      <w:r>
        <w:rPr>
          <w:rFonts w:hint="eastAsia"/>
          <w:szCs w:val="20"/>
        </w:rPr>
        <w:t>月份正值我们双节备货时期，对棕榈油的需求较大，将会刺激进口增加。同时相对</w:t>
      </w:r>
      <w:r>
        <w:rPr>
          <w:rFonts w:hint="eastAsia"/>
          <w:szCs w:val="20"/>
        </w:rPr>
        <w:t>8</w:t>
      </w:r>
      <w:r>
        <w:rPr>
          <w:rFonts w:hint="eastAsia"/>
          <w:szCs w:val="20"/>
        </w:rPr>
        <w:t>月初时低位的马盘也吸引需求。根据马来西亚船运机构</w:t>
      </w:r>
      <w:r>
        <w:rPr>
          <w:rFonts w:hint="eastAsia"/>
          <w:szCs w:val="20"/>
        </w:rPr>
        <w:t>SGS</w:t>
      </w:r>
      <w:r>
        <w:rPr>
          <w:rFonts w:hint="eastAsia"/>
          <w:szCs w:val="20"/>
        </w:rPr>
        <w:t>发布的数据显示，</w:t>
      </w:r>
      <w:r>
        <w:rPr>
          <w:rFonts w:hint="eastAsia"/>
          <w:szCs w:val="20"/>
        </w:rPr>
        <w:t>8</w:t>
      </w:r>
      <w:r>
        <w:rPr>
          <w:rFonts w:hint="eastAsia"/>
          <w:szCs w:val="20"/>
        </w:rPr>
        <w:t>月份出口到中国的棕榈油约有</w:t>
      </w:r>
      <w:r>
        <w:rPr>
          <w:rFonts w:hint="eastAsia"/>
          <w:szCs w:val="20"/>
        </w:rPr>
        <w:t>36.3</w:t>
      </w:r>
      <w:r>
        <w:rPr>
          <w:rFonts w:hint="eastAsia"/>
          <w:szCs w:val="20"/>
        </w:rPr>
        <w:t>万吨，那么预期</w:t>
      </w:r>
      <w:r>
        <w:rPr>
          <w:rFonts w:hint="eastAsia"/>
          <w:szCs w:val="20"/>
        </w:rPr>
        <w:t>8</w:t>
      </w:r>
      <w:r>
        <w:rPr>
          <w:rFonts w:hint="eastAsia"/>
          <w:szCs w:val="20"/>
        </w:rPr>
        <w:t>月份中国整体的进口量在</w:t>
      </w:r>
      <w:r>
        <w:rPr>
          <w:rFonts w:hint="eastAsia"/>
          <w:szCs w:val="20"/>
        </w:rPr>
        <w:t>50</w:t>
      </w:r>
      <w:r>
        <w:rPr>
          <w:rFonts w:hint="eastAsia"/>
          <w:szCs w:val="20"/>
        </w:rPr>
        <w:t>万吨左右。</w:t>
      </w:r>
      <w:r>
        <w:rPr>
          <w:rFonts w:hint="eastAsia"/>
          <w:szCs w:val="20"/>
        </w:rPr>
        <w:lastRenderedPageBreak/>
        <w:t>较</w:t>
      </w:r>
      <w:r>
        <w:rPr>
          <w:rFonts w:hint="eastAsia"/>
          <w:szCs w:val="20"/>
        </w:rPr>
        <w:t>7</w:t>
      </w:r>
      <w:r>
        <w:rPr>
          <w:rFonts w:hint="eastAsia"/>
          <w:szCs w:val="20"/>
        </w:rPr>
        <w:t>月份有少量增加。</w:t>
      </w:r>
    </w:p>
    <w:p w:rsidR="00AA6B5E" w:rsidRDefault="00AA6B5E" w:rsidP="00AA6B5E">
      <w:pPr>
        <w:spacing w:line="276" w:lineRule="auto"/>
        <w:ind w:leftChars="900" w:left="1890" w:firstLineChars="200" w:firstLine="420"/>
        <w:rPr>
          <w:szCs w:val="20"/>
        </w:rPr>
      </w:pPr>
      <w:r>
        <w:rPr>
          <w:rFonts w:hint="eastAsia"/>
          <w:szCs w:val="20"/>
        </w:rPr>
        <w:t>但是到</w:t>
      </w:r>
      <w:r>
        <w:rPr>
          <w:rFonts w:hint="eastAsia"/>
          <w:szCs w:val="20"/>
        </w:rPr>
        <w:t>9</w:t>
      </w:r>
      <w:r>
        <w:rPr>
          <w:rFonts w:hint="eastAsia"/>
          <w:szCs w:val="20"/>
        </w:rPr>
        <w:t>月份，在消费旺季逐渐结束，需求刺激进口作用衰弱的情况下，进口量或将减少。同时我们从进口成本与现货价格的比较来看，在整个</w:t>
      </w:r>
      <w:r>
        <w:rPr>
          <w:rFonts w:hint="eastAsia"/>
          <w:szCs w:val="20"/>
        </w:rPr>
        <w:t>8</w:t>
      </w:r>
      <w:r>
        <w:rPr>
          <w:rFonts w:hint="eastAsia"/>
          <w:szCs w:val="20"/>
        </w:rPr>
        <w:t>月份，以天津港口为例，现货与进口成本之差仍旧维持在</w:t>
      </w:r>
      <w:r>
        <w:rPr>
          <w:rFonts w:hint="eastAsia"/>
          <w:szCs w:val="20"/>
        </w:rPr>
        <w:t>700</w:t>
      </w:r>
      <w:r>
        <w:rPr>
          <w:rFonts w:hint="eastAsia"/>
          <w:szCs w:val="20"/>
        </w:rPr>
        <w:t>元</w:t>
      </w:r>
      <w:r>
        <w:rPr>
          <w:rFonts w:hint="eastAsia"/>
          <w:szCs w:val="20"/>
        </w:rPr>
        <w:t>/</w:t>
      </w:r>
      <w:r>
        <w:rPr>
          <w:rFonts w:hint="eastAsia"/>
          <w:szCs w:val="20"/>
        </w:rPr>
        <w:t>吨左右，期货与进口成本之差更是处于</w:t>
      </w:r>
      <w:r>
        <w:rPr>
          <w:rFonts w:hint="eastAsia"/>
          <w:szCs w:val="20"/>
        </w:rPr>
        <w:t>800</w:t>
      </w:r>
      <w:r>
        <w:rPr>
          <w:rFonts w:hint="eastAsia"/>
          <w:szCs w:val="20"/>
        </w:rPr>
        <w:t>元</w:t>
      </w:r>
      <w:r>
        <w:rPr>
          <w:rFonts w:hint="eastAsia"/>
          <w:szCs w:val="20"/>
        </w:rPr>
        <w:t>/</w:t>
      </w:r>
      <w:r>
        <w:rPr>
          <w:rFonts w:hint="eastAsia"/>
          <w:szCs w:val="20"/>
        </w:rPr>
        <w:t>吨的高位。倒挂明显将会限制进口需求，因此，我们认为</w:t>
      </w:r>
      <w:r>
        <w:rPr>
          <w:rFonts w:hint="eastAsia"/>
          <w:szCs w:val="20"/>
        </w:rPr>
        <w:t>9</w:t>
      </w:r>
      <w:r>
        <w:rPr>
          <w:rFonts w:hint="eastAsia"/>
          <w:szCs w:val="20"/>
        </w:rPr>
        <w:t>月份棕榈油进口量将会减少。</w:t>
      </w:r>
    </w:p>
    <w:p w:rsidR="00AA6B5E" w:rsidRDefault="00AA6B5E" w:rsidP="00AA6B5E">
      <w:pPr>
        <w:spacing w:line="276" w:lineRule="auto"/>
        <w:ind w:leftChars="900" w:left="1890" w:firstLineChars="200" w:firstLine="422"/>
        <w:rPr>
          <w:b/>
          <w:szCs w:val="20"/>
        </w:rPr>
      </w:pPr>
      <w:r>
        <w:rPr>
          <w:rFonts w:hint="eastAsia"/>
          <w:b/>
          <w:szCs w:val="20"/>
        </w:rPr>
        <w:t>其次，中秋备货明显，但消费旺季即将结束。</w:t>
      </w:r>
    </w:p>
    <w:p w:rsidR="00AA6B5E" w:rsidRDefault="00AA6B5E" w:rsidP="00AA6B5E">
      <w:pPr>
        <w:spacing w:line="276" w:lineRule="auto"/>
        <w:ind w:leftChars="900" w:left="1890" w:firstLineChars="200" w:firstLine="420"/>
        <w:rPr>
          <w:szCs w:val="20"/>
        </w:rPr>
      </w:pPr>
      <w:r>
        <w:rPr>
          <w:rFonts w:hint="eastAsia"/>
          <w:szCs w:val="20"/>
        </w:rPr>
        <w:t>8</w:t>
      </w:r>
      <w:r>
        <w:rPr>
          <w:rFonts w:hint="eastAsia"/>
          <w:szCs w:val="20"/>
        </w:rPr>
        <w:t>月份棕榈油迎来明显的中秋备货行情，同时伴随整体内外盘油脂油料价格的反弹上行，国内棕榈油现货需求大幅增加。从我们统计站点的数据来看，</w:t>
      </w:r>
      <w:r>
        <w:rPr>
          <w:rFonts w:hint="eastAsia"/>
          <w:szCs w:val="20"/>
        </w:rPr>
        <w:t>8</w:t>
      </w:r>
      <w:r>
        <w:rPr>
          <w:rFonts w:hint="eastAsia"/>
          <w:szCs w:val="20"/>
        </w:rPr>
        <w:t>月棕油日均成交量达到</w:t>
      </w:r>
      <w:r>
        <w:rPr>
          <w:rFonts w:hint="eastAsia"/>
          <w:szCs w:val="20"/>
        </w:rPr>
        <w:t>11000</w:t>
      </w:r>
      <w:r>
        <w:rPr>
          <w:rFonts w:hint="eastAsia"/>
          <w:szCs w:val="20"/>
        </w:rPr>
        <w:t>吨，环比增加了</w:t>
      </w:r>
      <w:r>
        <w:rPr>
          <w:rFonts w:hint="eastAsia"/>
          <w:szCs w:val="20"/>
        </w:rPr>
        <w:t>60%</w:t>
      </w:r>
      <w:r>
        <w:rPr>
          <w:rFonts w:hint="eastAsia"/>
          <w:szCs w:val="20"/>
        </w:rPr>
        <w:t>以上，也是今年以来的需求最高峰，备货行情明显。</w:t>
      </w:r>
    </w:p>
    <w:p w:rsidR="00AA6B5E" w:rsidRPr="005A168B" w:rsidRDefault="00AA6B5E" w:rsidP="00AA6B5E">
      <w:pPr>
        <w:spacing w:line="276" w:lineRule="auto"/>
        <w:ind w:leftChars="900" w:left="1890" w:firstLineChars="200" w:firstLine="420"/>
        <w:rPr>
          <w:szCs w:val="20"/>
        </w:rPr>
      </w:pPr>
      <w:r>
        <w:rPr>
          <w:rFonts w:hint="eastAsia"/>
          <w:szCs w:val="20"/>
        </w:rPr>
        <w:t>但是我们在上文分析过，豆油在中秋备货行情结束后暂时缺失消费增长点，对价格存在利空影响。这一点相对于棕榈油来说更加明显，国内棕榈油的消费旺季主要体现在三季度，除了三季度的冷饮需求增量外，替代需求也是令其需求旺盛的主要原因。一般到入秋后，伴随气温降低，替代需求会逐渐削弱，其分界点就是中秋节前后。那么在结束今年中秋前的备货行情后，可以说，</w:t>
      </w:r>
      <w:r>
        <w:rPr>
          <w:rFonts w:hint="eastAsia"/>
          <w:szCs w:val="20"/>
        </w:rPr>
        <w:t>2013</w:t>
      </w:r>
      <w:r>
        <w:rPr>
          <w:rFonts w:hint="eastAsia"/>
          <w:szCs w:val="20"/>
        </w:rPr>
        <w:t>年棕榈油的终端需求上将很难出现明显的增量。我们预计</w:t>
      </w:r>
      <w:r>
        <w:rPr>
          <w:rFonts w:hint="eastAsia"/>
          <w:szCs w:val="20"/>
        </w:rPr>
        <w:t>9</w:t>
      </w:r>
      <w:r>
        <w:rPr>
          <w:rFonts w:hint="eastAsia"/>
          <w:szCs w:val="20"/>
        </w:rPr>
        <w:t>月份的棕油成交统计会再度下滑至</w:t>
      </w:r>
      <w:r>
        <w:rPr>
          <w:rFonts w:hint="eastAsia"/>
          <w:szCs w:val="20"/>
        </w:rPr>
        <w:t>10000</w:t>
      </w:r>
      <w:r>
        <w:rPr>
          <w:rFonts w:hint="eastAsia"/>
          <w:szCs w:val="20"/>
        </w:rPr>
        <w:t>吨以下，乃至</w:t>
      </w:r>
      <w:r>
        <w:rPr>
          <w:rFonts w:hint="eastAsia"/>
          <w:szCs w:val="20"/>
        </w:rPr>
        <w:t>6000</w:t>
      </w:r>
      <w:r>
        <w:rPr>
          <w:rFonts w:hint="eastAsia"/>
          <w:szCs w:val="20"/>
        </w:rPr>
        <w:t>吨左右。</w:t>
      </w:r>
    </w:p>
    <w:p w:rsidR="00AA6B5E" w:rsidRDefault="00AA6B5E" w:rsidP="00AA6B5E">
      <w:pPr>
        <w:spacing w:line="276" w:lineRule="auto"/>
        <w:ind w:leftChars="900" w:left="1890" w:firstLineChars="200" w:firstLine="422"/>
        <w:rPr>
          <w:b/>
          <w:szCs w:val="20"/>
        </w:rPr>
      </w:pPr>
      <w:r>
        <w:rPr>
          <w:rFonts w:hint="eastAsia"/>
          <w:b/>
          <w:szCs w:val="20"/>
        </w:rPr>
        <w:t>第三，从库存角度来看，国内棕榈油高库存已经成为常态。</w:t>
      </w:r>
    </w:p>
    <w:p w:rsidR="00AA6B5E" w:rsidRDefault="00AA6B5E" w:rsidP="00AA6B5E">
      <w:pPr>
        <w:spacing w:line="276" w:lineRule="auto"/>
        <w:ind w:leftChars="900" w:left="1890" w:firstLineChars="200" w:firstLine="420"/>
        <w:rPr>
          <w:szCs w:val="20"/>
        </w:rPr>
      </w:pPr>
      <w:r w:rsidRPr="004D49DF">
        <w:rPr>
          <w:rFonts w:hint="eastAsia"/>
          <w:szCs w:val="20"/>
        </w:rPr>
        <w:t>百万吨以上的棕榈</w:t>
      </w:r>
      <w:r>
        <w:rPr>
          <w:rFonts w:hint="eastAsia"/>
          <w:szCs w:val="20"/>
        </w:rPr>
        <w:t>港口库存将会成为常态。在</w:t>
      </w:r>
      <w:r>
        <w:rPr>
          <w:rFonts w:hint="eastAsia"/>
          <w:szCs w:val="20"/>
        </w:rPr>
        <w:t>8</w:t>
      </w:r>
      <w:r>
        <w:rPr>
          <w:rFonts w:hint="eastAsia"/>
          <w:szCs w:val="20"/>
        </w:rPr>
        <w:t>月份棕榈油港口库存在进口供应增加，而需求更加明显的作用下缓慢下滑，从</w:t>
      </w:r>
      <w:r>
        <w:rPr>
          <w:rFonts w:hint="eastAsia"/>
          <w:szCs w:val="20"/>
        </w:rPr>
        <w:t>7</w:t>
      </w:r>
      <w:r>
        <w:rPr>
          <w:rFonts w:hint="eastAsia"/>
          <w:szCs w:val="20"/>
        </w:rPr>
        <w:t>月底的</w:t>
      </w:r>
      <w:r>
        <w:rPr>
          <w:rFonts w:hint="eastAsia"/>
          <w:szCs w:val="20"/>
        </w:rPr>
        <w:t>123</w:t>
      </w:r>
      <w:r>
        <w:rPr>
          <w:rFonts w:hint="eastAsia"/>
          <w:szCs w:val="20"/>
        </w:rPr>
        <w:t>万吨下降至</w:t>
      </w:r>
      <w:r>
        <w:rPr>
          <w:rFonts w:hint="eastAsia"/>
          <w:szCs w:val="20"/>
        </w:rPr>
        <w:t>8</w:t>
      </w:r>
      <w:r>
        <w:rPr>
          <w:rFonts w:hint="eastAsia"/>
          <w:szCs w:val="20"/>
        </w:rPr>
        <w:t>月底的</w:t>
      </w:r>
      <w:r>
        <w:rPr>
          <w:rFonts w:hint="eastAsia"/>
          <w:szCs w:val="20"/>
        </w:rPr>
        <w:t>113</w:t>
      </w:r>
      <w:r>
        <w:rPr>
          <w:rFonts w:hint="eastAsia"/>
          <w:szCs w:val="20"/>
        </w:rPr>
        <w:t>万吨。从上文中对进口供应以及消费的分析，我们认为，在进口量与消费同步衰减的情况下，棕榈油的港口库存近期不会有太大的变动，也就是说棕榈油会将在近几个月持续处于</w:t>
      </w:r>
      <w:r>
        <w:rPr>
          <w:rFonts w:hint="eastAsia"/>
          <w:szCs w:val="20"/>
        </w:rPr>
        <w:t>100</w:t>
      </w:r>
      <w:r>
        <w:rPr>
          <w:rFonts w:hint="eastAsia"/>
          <w:szCs w:val="20"/>
        </w:rPr>
        <w:t>万吨以上的高位，预计会围绕</w:t>
      </w:r>
      <w:r>
        <w:rPr>
          <w:rFonts w:hint="eastAsia"/>
          <w:szCs w:val="20"/>
        </w:rPr>
        <w:t>110-120</w:t>
      </w:r>
      <w:r>
        <w:rPr>
          <w:rFonts w:hint="eastAsia"/>
          <w:szCs w:val="20"/>
        </w:rPr>
        <w:t>万吨调整。而库存处于高位在未来消费淡季即将来临的情况下，会转化为保值盘，对期价形成压力。</w:t>
      </w:r>
    </w:p>
    <w:p w:rsidR="00AA6B5E" w:rsidRPr="004D49DF" w:rsidRDefault="00AA6B5E" w:rsidP="00AA6B5E">
      <w:pPr>
        <w:spacing w:line="276" w:lineRule="auto"/>
        <w:ind w:leftChars="900" w:left="1890" w:firstLineChars="200" w:firstLine="420"/>
        <w:rPr>
          <w:szCs w:val="20"/>
        </w:rPr>
      </w:pPr>
      <w:r>
        <w:rPr>
          <w:rFonts w:hint="eastAsia"/>
          <w:szCs w:val="20"/>
        </w:rPr>
        <w:t>我们从过去一个月的成交以及价格变动规律可以看到，在</w:t>
      </w:r>
      <w:r>
        <w:rPr>
          <w:rFonts w:hint="eastAsia"/>
          <w:szCs w:val="20"/>
        </w:rPr>
        <w:t>8</w:t>
      </w:r>
      <w:r>
        <w:rPr>
          <w:rFonts w:hint="eastAsia"/>
          <w:szCs w:val="20"/>
        </w:rPr>
        <w:t>月上中旬，棕油成交旺盛的时期，</w:t>
      </w:r>
      <w:r>
        <w:rPr>
          <w:rFonts w:hint="eastAsia"/>
          <w:szCs w:val="20"/>
        </w:rPr>
        <w:t>DCE</w:t>
      </w:r>
      <w:r>
        <w:rPr>
          <w:rFonts w:hint="eastAsia"/>
          <w:szCs w:val="20"/>
        </w:rPr>
        <w:t>价格回升迅猛，尤其在两次跳空大幅拉升收红的行情中，以减仓配合。而到</w:t>
      </w:r>
      <w:r>
        <w:rPr>
          <w:rFonts w:hint="eastAsia"/>
          <w:szCs w:val="20"/>
        </w:rPr>
        <w:t>8</w:t>
      </w:r>
      <w:r>
        <w:rPr>
          <w:rFonts w:hint="eastAsia"/>
          <w:szCs w:val="20"/>
        </w:rPr>
        <w:t>月下旬，成交逐渐萎缩，</w:t>
      </w:r>
      <w:r>
        <w:rPr>
          <w:rFonts w:hint="eastAsia"/>
          <w:szCs w:val="20"/>
        </w:rPr>
        <w:t>DCE</w:t>
      </w:r>
      <w:r>
        <w:rPr>
          <w:rFonts w:hint="eastAsia"/>
          <w:szCs w:val="20"/>
        </w:rPr>
        <w:t>棕榈油价格下挫幅度明显大于豆油，其中伴随着持仓的增加。对此，我们结合盘后主力持仓也可以发现端倪。</w:t>
      </w:r>
    </w:p>
    <w:p w:rsidR="00AA6B5E" w:rsidRDefault="00AA6B5E" w:rsidP="00AA6B5E">
      <w:pPr>
        <w:spacing w:line="276" w:lineRule="auto"/>
        <w:ind w:leftChars="900" w:left="1890" w:firstLineChars="200" w:firstLine="420"/>
        <w:rPr>
          <w:szCs w:val="20"/>
        </w:rPr>
      </w:pPr>
      <w:r w:rsidRPr="00435F6E">
        <w:rPr>
          <w:noProof/>
        </w:rPr>
        <w:pict>
          <v:group id="_x0000_s2068" style="position:absolute;left:0;text-align:left;margin-left:9.5pt;margin-top:8.9pt;width:486pt;height:550pt;z-index:251666432" coordorigin="1484,5217" coordsize="9720,11232">
            <v:group id="_x0000_s2069" style="position:absolute;left:1484;top:5217;width:9720;height:3744" coordorigin="1854,11090" coordsize="9720,3744">
              <v:shape id="_x0000_s2070" type="#_x0000_t202" style="position:absolute;left:6714;top:11090;width:4860;height:3744;mso-wrap-edited:f" strokecolor="silver" strokeweight=".5pt">
                <v:stroke dashstyle="1 1" endcap="round"/>
                <v:textbox style="mso-next-textbox:#_x0000_s2070" inset="0,0,0,0">
                  <w:txbxContent>
                    <w:p w:rsidR="00AA6B5E" w:rsidRPr="0080358F" w:rsidRDefault="00AA6B5E" w:rsidP="00AA6B5E">
                      <w:pPr>
                        <w:pStyle w:val="a6"/>
                      </w:pPr>
                      <w:r>
                        <w:rPr>
                          <w:rFonts w:hint="eastAsia"/>
                        </w:rPr>
                        <w:t>图棕榈油成交统计（单位：吨）</w:t>
                      </w:r>
                    </w:p>
                    <w:p w:rsidR="00AA6B5E" w:rsidRDefault="00AA6B5E" w:rsidP="00AA6B5E">
                      <w:pPr>
                        <w:jc w:val="center"/>
                      </w:pPr>
                      <w:r w:rsidRPr="00AC4F56">
                        <w:rPr>
                          <w:noProof/>
                        </w:rPr>
                        <w:drawing>
                          <wp:inline distT="0" distB="0" distL="0" distR="0">
                            <wp:extent cx="2990670" cy="2110505"/>
                            <wp:effectExtent l="19050" t="0" r="180" b="0"/>
                            <wp:docPr id="1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2994169" cy="2112974"/>
                                    </a:xfrm>
                                    <a:prstGeom prst="rect">
                                      <a:avLst/>
                                    </a:prstGeom>
                                    <a:noFill/>
                                    <a:ln w="9525">
                                      <a:noFill/>
                                      <a:miter lim="800000"/>
                                      <a:headEnd/>
                                      <a:tailEnd/>
                                    </a:ln>
                                  </pic:spPr>
                                </pic:pic>
                              </a:graphicData>
                            </a:graphic>
                          </wp:inline>
                        </w:drawing>
                      </w:r>
                    </w:p>
                  </w:txbxContent>
                </v:textbox>
              </v:shape>
              <v:shape id="_x0000_s2071" type="#_x0000_t202" style="position:absolute;left:1854;top:11090;width:4860;height:3744;mso-wrap-edited:f" strokecolor="silver" strokeweight=".5pt">
                <v:stroke dashstyle="1 1" endcap="round"/>
                <v:textbox style="mso-next-textbox:#_x0000_s2071" inset="0,0,0,0">
                  <w:txbxContent>
                    <w:p w:rsidR="00AA6B5E" w:rsidRPr="0080358F" w:rsidRDefault="00AA6B5E" w:rsidP="00AA6B5E">
                      <w:pPr>
                        <w:pStyle w:val="a6"/>
                      </w:pPr>
                      <w:r>
                        <w:rPr>
                          <w:rFonts w:hint="eastAsia"/>
                        </w:rPr>
                        <w:t>图棕榈油月度进口量（单位：万吨）</w:t>
                      </w:r>
                    </w:p>
                    <w:p w:rsidR="00AA6B5E" w:rsidRPr="00AC4F56" w:rsidRDefault="00AA6B5E" w:rsidP="00AA6B5E">
                      <w:pPr>
                        <w:jc w:val="center"/>
                      </w:pPr>
                      <w:r>
                        <w:rPr>
                          <w:noProof/>
                        </w:rPr>
                        <w:drawing>
                          <wp:inline distT="0" distB="0" distL="0" distR="0">
                            <wp:extent cx="3026075" cy="2044460"/>
                            <wp:effectExtent l="19050" t="0" r="2875" b="0"/>
                            <wp:docPr id="1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3028915" cy="2046379"/>
                                    </a:xfrm>
                                    <a:prstGeom prst="rect">
                                      <a:avLst/>
                                    </a:prstGeom>
                                    <a:noFill/>
                                    <a:ln w="9525">
                                      <a:noFill/>
                                      <a:miter lim="800000"/>
                                      <a:headEnd/>
                                      <a:tailEnd/>
                                    </a:ln>
                                  </pic:spPr>
                                </pic:pic>
                              </a:graphicData>
                            </a:graphic>
                          </wp:inline>
                        </w:drawing>
                      </w:r>
                    </w:p>
                  </w:txbxContent>
                </v:textbox>
              </v:shape>
            </v:group>
            <v:group id="_x0000_s2072" style="position:absolute;left:1484;top:12705;width:9720;height:3744" coordorigin="1854,11090" coordsize="9720,3744">
              <v:shape id="_x0000_s2073" type="#_x0000_t202" style="position:absolute;left:6714;top:11090;width:4860;height:3744;mso-wrap-edited:f" strokecolor="silver" strokeweight=".5pt">
                <v:stroke dashstyle="1 1" endcap="round"/>
                <v:textbox style="mso-next-textbox:#_x0000_s2073" inset="0,0,0,0">
                  <w:txbxContent>
                    <w:p w:rsidR="00AA6B5E" w:rsidRPr="0080358F" w:rsidRDefault="00AA6B5E" w:rsidP="00AA6B5E">
                      <w:pPr>
                        <w:pStyle w:val="a6"/>
                      </w:pPr>
                      <w:r>
                        <w:rPr>
                          <w:rFonts w:hint="eastAsia"/>
                        </w:rPr>
                        <w:t>图</w:t>
                      </w:r>
                      <w:r>
                        <w:rPr>
                          <w:rFonts w:hint="eastAsia"/>
                        </w:rPr>
                        <w:t xml:space="preserve">32 </w:t>
                      </w:r>
                      <w:r>
                        <w:rPr>
                          <w:rFonts w:hint="eastAsia"/>
                        </w:rPr>
                        <w:t>棕榈油期现价差</w:t>
                      </w:r>
                    </w:p>
                    <w:p w:rsidR="00AA6B5E" w:rsidRPr="0064778E" w:rsidRDefault="00AA6B5E" w:rsidP="00AA6B5E">
                      <w:pPr>
                        <w:jc w:val="center"/>
                      </w:pPr>
                      <w:r>
                        <w:rPr>
                          <w:noProof/>
                        </w:rPr>
                        <w:drawing>
                          <wp:inline distT="0" distB="0" distL="0" distR="0">
                            <wp:extent cx="2981071" cy="2087593"/>
                            <wp:effectExtent l="19050" t="0" r="0" b="0"/>
                            <wp:docPr id="13"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srcRect/>
                                    <a:stretch>
                                      <a:fillRect/>
                                    </a:stretch>
                                  </pic:blipFill>
                                  <pic:spPr bwMode="auto">
                                    <a:xfrm>
                                      <a:off x="0" y="0"/>
                                      <a:ext cx="2981325" cy="2087771"/>
                                    </a:xfrm>
                                    <a:prstGeom prst="rect">
                                      <a:avLst/>
                                    </a:prstGeom>
                                    <a:noFill/>
                                    <a:ln w="9525">
                                      <a:noFill/>
                                      <a:miter lim="800000"/>
                                      <a:headEnd/>
                                      <a:tailEnd/>
                                    </a:ln>
                                  </pic:spPr>
                                </pic:pic>
                              </a:graphicData>
                            </a:graphic>
                          </wp:inline>
                        </w:drawing>
                      </w:r>
                    </w:p>
                  </w:txbxContent>
                </v:textbox>
              </v:shape>
              <v:shape id="_x0000_s2074" type="#_x0000_t202" style="position:absolute;left:1854;top:11090;width:4860;height:3744;mso-wrap-edited:f" strokecolor="silver" strokeweight=".5pt">
                <v:stroke dashstyle="1 1" endcap="round"/>
                <v:textbox style="mso-next-textbox:#_x0000_s2074" inset="0,0,0,0">
                  <w:txbxContent>
                    <w:p w:rsidR="00AA6B5E" w:rsidRPr="0080358F" w:rsidRDefault="00AA6B5E" w:rsidP="00AA6B5E">
                      <w:pPr>
                        <w:pStyle w:val="a6"/>
                      </w:pPr>
                      <w:r>
                        <w:rPr>
                          <w:rFonts w:hint="eastAsia"/>
                        </w:rPr>
                        <w:t>图</w:t>
                      </w:r>
                      <w:r>
                        <w:rPr>
                          <w:rFonts w:hint="eastAsia"/>
                        </w:rPr>
                        <w:t xml:space="preserve">31 </w:t>
                      </w:r>
                      <w:r>
                        <w:rPr>
                          <w:rFonts w:hint="eastAsia"/>
                        </w:rPr>
                        <w:t>棕榈油期价与进口成本价差</w:t>
                      </w:r>
                    </w:p>
                    <w:p w:rsidR="00AA6B5E" w:rsidRPr="00925709" w:rsidRDefault="00AA6B5E" w:rsidP="00AA6B5E">
                      <w:pPr>
                        <w:jc w:val="center"/>
                      </w:pPr>
                      <w:r>
                        <w:rPr>
                          <w:noProof/>
                        </w:rPr>
                        <w:drawing>
                          <wp:inline distT="0" distB="0" distL="0" distR="0">
                            <wp:extent cx="2991569" cy="2061713"/>
                            <wp:effectExtent l="19050" t="0" r="0" b="0"/>
                            <wp:docPr id="14"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srcRect/>
                                    <a:stretch>
                                      <a:fillRect/>
                                    </a:stretch>
                                  </pic:blipFill>
                                  <pic:spPr bwMode="auto">
                                    <a:xfrm>
                                      <a:off x="0" y="0"/>
                                      <a:ext cx="2990850" cy="2061218"/>
                                    </a:xfrm>
                                    <a:prstGeom prst="rect">
                                      <a:avLst/>
                                    </a:prstGeom>
                                    <a:noFill/>
                                    <a:ln w="9525">
                                      <a:noFill/>
                                      <a:miter lim="800000"/>
                                      <a:headEnd/>
                                      <a:tailEnd/>
                                    </a:ln>
                                  </pic:spPr>
                                </pic:pic>
                              </a:graphicData>
                            </a:graphic>
                          </wp:inline>
                        </w:drawing>
                      </w:r>
                    </w:p>
                  </w:txbxContent>
                </v:textbox>
              </v:shape>
            </v:group>
          </v:group>
        </w:pict>
      </w: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Default="00AA6B5E" w:rsidP="00AA6B5E">
      <w:pPr>
        <w:spacing w:line="276" w:lineRule="auto"/>
        <w:ind w:leftChars="900" w:left="1890" w:firstLineChars="200" w:firstLine="422"/>
        <w:rPr>
          <w:b/>
          <w:szCs w:val="20"/>
        </w:rPr>
      </w:pPr>
    </w:p>
    <w:p w:rsidR="00AA6B5E" w:rsidRPr="00970F4C" w:rsidRDefault="00AA6B5E" w:rsidP="00AA6B5E">
      <w:pPr>
        <w:spacing w:line="276" w:lineRule="auto"/>
        <w:ind w:leftChars="900" w:left="1890" w:firstLineChars="200" w:firstLine="420"/>
        <w:rPr>
          <w:szCs w:val="20"/>
        </w:rPr>
      </w:pPr>
    </w:p>
    <w:p w:rsidR="00AA6B5E" w:rsidRDefault="00AA6B5E" w:rsidP="00AA6B5E">
      <w:pPr>
        <w:spacing w:line="276" w:lineRule="auto"/>
        <w:ind w:leftChars="900" w:left="1890" w:firstLineChars="200" w:firstLine="420"/>
        <w:rPr>
          <w:szCs w:val="20"/>
        </w:rPr>
      </w:pPr>
    </w:p>
    <w:p w:rsidR="00AA6B5E" w:rsidRDefault="00AA6B5E" w:rsidP="00AA6B5E">
      <w:pPr>
        <w:spacing w:line="276" w:lineRule="auto"/>
        <w:ind w:leftChars="900" w:left="1890" w:firstLineChars="200" w:firstLine="420"/>
        <w:rPr>
          <w:szCs w:val="20"/>
        </w:rPr>
      </w:pPr>
    </w:p>
    <w:p w:rsidR="00AA6B5E" w:rsidRDefault="00AA6B5E" w:rsidP="00AA6B5E">
      <w:pPr>
        <w:spacing w:line="276" w:lineRule="auto"/>
        <w:ind w:leftChars="900" w:left="1890" w:firstLineChars="200" w:firstLine="420"/>
        <w:rPr>
          <w:szCs w:val="20"/>
        </w:rPr>
      </w:pPr>
    </w:p>
    <w:p w:rsidR="00AA6B5E" w:rsidRDefault="00AA6B5E" w:rsidP="00AA6B5E">
      <w:pPr>
        <w:spacing w:line="276" w:lineRule="auto"/>
        <w:ind w:leftChars="900" w:left="1890" w:firstLineChars="200" w:firstLine="420"/>
        <w:rPr>
          <w:szCs w:val="20"/>
        </w:rPr>
      </w:pPr>
      <w:r w:rsidRPr="00435F6E">
        <w:rPr>
          <w:noProof/>
        </w:rPr>
        <w:pict>
          <v:group id="_x0000_s2050" style="position:absolute;left:0;text-align:left;margin-left:10.2pt;margin-top:13.2pt;width:486pt;height:181.55pt;z-index:251660288" coordorigin="1854,11090" coordsize="9720,3744">
            <v:shape id="_x0000_s2051" type="#_x0000_t202" style="position:absolute;left:6714;top:11090;width:4860;height:3744;mso-wrap-edited:f" strokecolor="silver" strokeweight=".5pt">
              <v:stroke dashstyle="1 1" endcap="round"/>
              <v:textbox style="mso-next-textbox:#_x0000_s2051" inset="0,0,0,0">
                <w:txbxContent>
                  <w:p w:rsidR="00AA6B5E" w:rsidRPr="0080358F" w:rsidRDefault="00AA6B5E" w:rsidP="00AA6B5E">
                    <w:pPr>
                      <w:pStyle w:val="a6"/>
                    </w:pPr>
                    <w:r>
                      <w:rPr>
                        <w:rFonts w:hint="eastAsia"/>
                      </w:rPr>
                      <w:t>图棕榈油现货</w:t>
                    </w:r>
                    <w:r>
                      <w:rPr>
                        <w:rFonts w:hint="eastAsia"/>
                      </w:rPr>
                      <w:t>-</w:t>
                    </w:r>
                    <w:r>
                      <w:rPr>
                        <w:rFonts w:hint="eastAsia"/>
                      </w:rPr>
                      <w:t>进口成本</w:t>
                    </w:r>
                  </w:p>
                  <w:p w:rsidR="00AA6B5E" w:rsidRDefault="00AA6B5E" w:rsidP="00AA6B5E">
                    <w:pPr>
                      <w:jc w:val="center"/>
                    </w:pPr>
                    <w:r>
                      <w:rPr>
                        <w:noProof/>
                      </w:rPr>
                      <w:drawing>
                        <wp:inline distT="0" distB="0" distL="0" distR="0">
                          <wp:extent cx="2991569" cy="2027208"/>
                          <wp:effectExtent l="19050" t="0" r="0" b="0"/>
                          <wp:docPr id="1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2991946" cy="2027463"/>
                                  </a:xfrm>
                                  <a:prstGeom prst="rect">
                                    <a:avLst/>
                                  </a:prstGeom>
                                  <a:noFill/>
                                  <a:ln w="9525">
                                    <a:noFill/>
                                    <a:miter lim="800000"/>
                                    <a:headEnd/>
                                    <a:tailEnd/>
                                  </a:ln>
                                </pic:spPr>
                              </pic:pic>
                            </a:graphicData>
                          </a:graphic>
                        </wp:inline>
                      </w:drawing>
                    </w:r>
                  </w:p>
                </w:txbxContent>
              </v:textbox>
            </v:shape>
            <v:shape id="_x0000_s2052" type="#_x0000_t202" style="position:absolute;left:1854;top:11090;width:4860;height:3744;mso-wrap-edited:f" strokecolor="silver" strokeweight=".5pt">
              <v:stroke dashstyle="1 1" endcap="round"/>
              <v:textbox style="mso-next-textbox:#_x0000_s2052" inset="0,0,0,0">
                <w:txbxContent>
                  <w:p w:rsidR="00AA6B5E" w:rsidRPr="0080358F" w:rsidRDefault="00AA6B5E" w:rsidP="00AA6B5E">
                    <w:pPr>
                      <w:pStyle w:val="a6"/>
                    </w:pPr>
                    <w:r>
                      <w:rPr>
                        <w:rFonts w:hint="eastAsia"/>
                      </w:rPr>
                      <w:t>图棕榈油港口库存（单位：万吨）</w:t>
                    </w:r>
                  </w:p>
                  <w:p w:rsidR="00AA6B5E" w:rsidRPr="00AC4F56" w:rsidRDefault="00AA6B5E" w:rsidP="00AA6B5E">
                    <w:pPr>
                      <w:jc w:val="center"/>
                    </w:pPr>
                    <w:r>
                      <w:rPr>
                        <w:noProof/>
                      </w:rPr>
                      <w:drawing>
                        <wp:inline distT="0" distB="0" distL="0" distR="0">
                          <wp:extent cx="3013829" cy="2053086"/>
                          <wp:effectExtent l="19050" t="0" r="0" b="0"/>
                          <wp:docPr id="1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3018364" cy="2056175"/>
                                  </a:xfrm>
                                  <a:prstGeom prst="rect">
                                    <a:avLst/>
                                  </a:prstGeom>
                                  <a:noFill/>
                                  <a:ln w="9525">
                                    <a:noFill/>
                                    <a:miter lim="800000"/>
                                    <a:headEnd/>
                                    <a:tailEnd/>
                                  </a:ln>
                                </pic:spPr>
                              </pic:pic>
                            </a:graphicData>
                          </a:graphic>
                        </wp:inline>
                      </w:drawing>
                    </w:r>
                  </w:p>
                </w:txbxContent>
              </v:textbox>
            </v:shape>
          </v:group>
        </w:pict>
      </w: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spacing w:line="276" w:lineRule="auto"/>
        <w:ind w:leftChars="900" w:left="1890" w:firstLineChars="200" w:firstLine="420"/>
        <w:rPr>
          <w:szCs w:val="20"/>
        </w:rPr>
      </w:pPr>
    </w:p>
    <w:p w:rsidR="00AA6B5E" w:rsidRPr="00BC420A"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Default="00AA6B5E" w:rsidP="00AA6B5E">
      <w:pPr>
        <w:pStyle w:val="a0"/>
      </w:pPr>
    </w:p>
    <w:p w:rsidR="00AA6B5E" w:rsidRPr="005A168B" w:rsidRDefault="00AA6B5E" w:rsidP="00AA6B5E">
      <w:pPr>
        <w:spacing w:line="276" w:lineRule="auto"/>
        <w:ind w:leftChars="900" w:left="1890" w:firstLineChars="200" w:firstLine="420"/>
        <w:rPr>
          <w:szCs w:val="20"/>
        </w:rPr>
      </w:pPr>
      <w:r>
        <w:rPr>
          <w:rFonts w:hint="eastAsia"/>
          <w:szCs w:val="20"/>
        </w:rPr>
        <w:t>因此，我们认为在后期套保盘会带动投机盘成为影响期货价格的一个重要因素，从目前现货价格以及</w:t>
      </w:r>
      <w:r>
        <w:rPr>
          <w:rFonts w:hint="eastAsia"/>
          <w:szCs w:val="20"/>
        </w:rPr>
        <w:t>DCE</w:t>
      </w:r>
      <w:r>
        <w:rPr>
          <w:rFonts w:hint="eastAsia"/>
          <w:szCs w:val="20"/>
        </w:rPr>
        <w:t>价格对比来看，一旦两者价差为正，便会引发套保盘施压。</w:t>
      </w:r>
    </w:p>
    <w:p w:rsidR="00AA6B5E" w:rsidRDefault="00AA6B5E" w:rsidP="00AA6B5E">
      <w:pPr>
        <w:pStyle w:val="a0"/>
      </w:pPr>
      <w:r>
        <w:rPr>
          <w:rFonts w:hint="eastAsia"/>
        </w:rPr>
        <w:t>此外，从DCE棕榈油1401以及1405合约价差对比来看，套保盘在1401合约上进口保值更具备安全性。</w:t>
      </w:r>
    </w:p>
    <w:p w:rsidR="00AA6B5E" w:rsidRDefault="00AA6B5E" w:rsidP="00AA6B5E">
      <w:pPr>
        <w:pStyle w:val="a0"/>
      </w:pPr>
      <w:r>
        <w:rPr>
          <w:rFonts w:hint="eastAsia"/>
        </w:rPr>
        <w:t>综合来看，棕榈油在9月份相较于豆油来说，更加疲软，一方面是马来西亚棕榈油将会在9月份更加明显的感受到产量高峰期的压力。另一方面国内替代消费旺季的结束以及港库存套保盘的压力，也会令价格难以企稳的高位。尽管在美盘拉动下，棕榈油在9月仍旧机会上探高点，但是却很难站稳。</w:t>
      </w:r>
    </w:p>
    <w:p w:rsidR="00AA6B5E" w:rsidRDefault="00AA6B5E" w:rsidP="00AA6B5E">
      <w:pPr>
        <w:pStyle w:val="a0"/>
      </w:pPr>
      <w:r>
        <w:rPr>
          <w:rFonts w:hint="eastAsia"/>
        </w:rPr>
        <w:t>而从资金结构来看，1401合约的成本线在5500区间非常明显，但是上行中却缺乏多头主力的持续跟进，相反5800一带的抛空资金较多，但略显分散。而1405合约上抛空主力相对稳定在5900-6000一带。相比较而言，1401较1405要相对坚挺一些。</w:t>
      </w:r>
    </w:p>
    <w:p w:rsidR="00AA6B5E" w:rsidRDefault="00AA6B5E" w:rsidP="00AA6B5E">
      <w:pPr>
        <w:pStyle w:val="a0"/>
      </w:pPr>
      <w:r>
        <w:rPr>
          <w:rFonts w:hint="eastAsia"/>
        </w:rPr>
        <w:t>操作上，投机资金建议在9月份不宜对棕榈油有单边趋势性行情预期，中短线的操作较为适宜，其中逢低买入以1401为主，低位支撑及止损位5500；抛空以1405合约为主，上压6000一线。</w:t>
      </w:r>
    </w:p>
    <w:p w:rsidR="00AA6B5E" w:rsidRDefault="00AA6B5E" w:rsidP="00AA6B5E">
      <w:pPr>
        <w:pStyle w:val="a0"/>
      </w:pPr>
      <w:r>
        <w:rPr>
          <w:rFonts w:hint="eastAsia"/>
        </w:rPr>
        <w:t>套保盘建议在1405合约上进行保值，一旦1405合约与现货价格逼近零值，出场规避。</w:t>
      </w:r>
    </w:p>
    <w:p w:rsidR="00F1484F" w:rsidRPr="00AA6B5E" w:rsidRDefault="00F1484F" w:rsidP="00AA6B5E"/>
    <w:sectPr w:rsidR="00F1484F" w:rsidRPr="00AA6B5E" w:rsidSect="00AA6B5E">
      <w:pgSz w:w="11906" w:h="16838"/>
      <w:pgMar w:top="1440" w:right="18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369" w:rsidRDefault="00AF5369" w:rsidP="00AC3F05">
      <w:r>
        <w:separator/>
      </w:r>
    </w:p>
  </w:endnote>
  <w:endnote w:type="continuationSeparator" w:id="1">
    <w:p w:rsidR="00AF5369" w:rsidRDefault="00AF5369" w:rsidP="00AC3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369" w:rsidRDefault="00AF5369" w:rsidP="00AC3F05">
      <w:r>
        <w:separator/>
      </w:r>
    </w:p>
  </w:footnote>
  <w:footnote w:type="continuationSeparator" w:id="1">
    <w:p w:rsidR="00AF5369" w:rsidRDefault="00AF5369" w:rsidP="00AC3F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3F05"/>
    <w:rsid w:val="002A1026"/>
    <w:rsid w:val="00640095"/>
    <w:rsid w:val="00674674"/>
    <w:rsid w:val="00A86D94"/>
    <w:rsid w:val="00A97C2E"/>
    <w:rsid w:val="00AA6B5E"/>
    <w:rsid w:val="00AC3F05"/>
    <w:rsid w:val="00AF5369"/>
    <w:rsid w:val="00AF71BE"/>
    <w:rsid w:val="00B42686"/>
    <w:rsid w:val="00B93679"/>
    <w:rsid w:val="00DE4228"/>
    <w:rsid w:val="00F14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5E"/>
    <w:pPr>
      <w:widowControl w:val="0"/>
      <w:jc w:val="both"/>
    </w:pPr>
    <w:rPr>
      <w:rFonts w:ascii="Times New Roman" w:eastAsia="宋体" w:hAnsi="Times New Roman" w:cs="Times New Roman"/>
      <w:szCs w:val="24"/>
    </w:rPr>
  </w:style>
  <w:style w:type="paragraph" w:styleId="1">
    <w:name w:val="heading 1"/>
    <w:basedOn w:val="a"/>
    <w:next w:val="a0"/>
    <w:link w:val="1Char"/>
    <w:autoRedefine/>
    <w:uiPriority w:val="99"/>
    <w:qFormat/>
    <w:rsid w:val="00AA6B5E"/>
    <w:pPr>
      <w:pBdr>
        <w:top w:val="single" w:sz="4" w:space="1" w:color="auto"/>
        <w:left w:val="single" w:sz="24" w:space="4" w:color="auto"/>
        <w:bottom w:val="single" w:sz="4" w:space="1" w:color="auto"/>
      </w:pBdr>
      <w:shd w:val="clear" w:color="auto" w:fill="C6D9F1" w:themeFill="text2" w:themeFillTint="33"/>
      <w:spacing w:before="480" w:after="240" w:line="360" w:lineRule="auto"/>
      <w:ind w:leftChars="1000" w:left="2100"/>
      <w:jc w:val="left"/>
      <w:outlineLvl w:val="0"/>
    </w:pPr>
    <w:rPr>
      <w:b/>
      <w:bCs/>
      <w:kern w:val="44"/>
      <w:sz w:val="2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AC3F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AC3F05"/>
    <w:rPr>
      <w:sz w:val="18"/>
      <w:szCs w:val="18"/>
    </w:rPr>
  </w:style>
  <w:style w:type="paragraph" w:styleId="a5">
    <w:name w:val="footer"/>
    <w:basedOn w:val="a"/>
    <w:link w:val="Char0"/>
    <w:uiPriority w:val="99"/>
    <w:semiHidden/>
    <w:unhideWhenUsed/>
    <w:rsid w:val="00AC3F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AC3F05"/>
    <w:rPr>
      <w:sz w:val="18"/>
      <w:szCs w:val="18"/>
    </w:rPr>
  </w:style>
  <w:style w:type="paragraph" w:customStyle="1" w:styleId="a6">
    <w:name w:val="迈科图标头"/>
    <w:basedOn w:val="a"/>
    <w:next w:val="a"/>
    <w:autoRedefine/>
    <w:qFormat/>
    <w:rsid w:val="00AC3F05"/>
    <w:pPr>
      <w:jc w:val="center"/>
    </w:pPr>
    <w:rPr>
      <w:sz w:val="18"/>
    </w:rPr>
  </w:style>
  <w:style w:type="paragraph" w:customStyle="1" w:styleId="a0">
    <w:name w:val="内容段落"/>
    <w:basedOn w:val="a"/>
    <w:autoRedefine/>
    <w:uiPriority w:val="99"/>
    <w:rsid w:val="00AC3F05"/>
    <w:pPr>
      <w:spacing w:line="276" w:lineRule="auto"/>
      <w:ind w:leftChars="900" w:left="1890" w:firstLineChars="200" w:firstLine="420"/>
    </w:pPr>
    <w:rPr>
      <w:rFonts w:asciiTheme="minorEastAsia" w:eastAsiaTheme="minorEastAsia" w:hAnsiTheme="minorEastAsia" w:cs="宋体"/>
      <w:szCs w:val="20"/>
    </w:rPr>
  </w:style>
  <w:style w:type="paragraph" w:styleId="a7">
    <w:name w:val="Balloon Text"/>
    <w:basedOn w:val="a"/>
    <w:link w:val="Char1"/>
    <w:uiPriority w:val="99"/>
    <w:semiHidden/>
    <w:unhideWhenUsed/>
    <w:rsid w:val="00AC3F05"/>
    <w:rPr>
      <w:sz w:val="18"/>
      <w:szCs w:val="18"/>
    </w:rPr>
  </w:style>
  <w:style w:type="character" w:customStyle="1" w:styleId="Char1">
    <w:name w:val="批注框文本 Char"/>
    <w:basedOn w:val="a1"/>
    <w:link w:val="a7"/>
    <w:uiPriority w:val="99"/>
    <w:semiHidden/>
    <w:rsid w:val="00AC3F05"/>
    <w:rPr>
      <w:sz w:val="18"/>
      <w:szCs w:val="18"/>
    </w:rPr>
  </w:style>
  <w:style w:type="character" w:customStyle="1" w:styleId="1Char">
    <w:name w:val="标题 1 Char"/>
    <w:basedOn w:val="a1"/>
    <w:link w:val="1"/>
    <w:uiPriority w:val="99"/>
    <w:rsid w:val="00AA6B5E"/>
    <w:rPr>
      <w:rFonts w:ascii="Times New Roman" w:eastAsia="宋体" w:hAnsi="Times New Roman" w:cs="Times New Roman"/>
      <w:b/>
      <w:bCs/>
      <w:kern w:val="44"/>
      <w:sz w:val="24"/>
      <w:szCs w:val="44"/>
      <w:shd w:val="clear" w:color="auto" w:fill="C6D9F1" w:themeFill="text2" w:themeFillTint="33"/>
    </w:rPr>
  </w:style>
  <w:style w:type="paragraph" w:customStyle="1" w:styleId="2">
    <w:name w:val="首行缩进2字符"/>
    <w:basedOn w:val="a"/>
    <w:autoRedefine/>
    <w:rsid w:val="00AA6B5E"/>
    <w:pPr>
      <w:ind w:firstLineChars="200" w:firstLine="560"/>
      <w:jc w:val="center"/>
    </w:pPr>
    <w:rPr>
      <w:color w:val="0000FF"/>
      <w:sz w:val="28"/>
      <w:szCs w:val="28"/>
    </w:rPr>
  </w:style>
  <w:style w:type="table" w:styleId="a8">
    <w:name w:val="Table Grid"/>
    <w:basedOn w:val="a2"/>
    <w:rsid w:val="00AA6B5E"/>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964</Words>
  <Characters>5495</Characters>
  <Application>Microsoft Office Word</Application>
  <DocSecurity>0</DocSecurity>
  <Lines>45</Lines>
  <Paragraphs>12</Paragraphs>
  <ScaleCrop>false</ScaleCrop>
  <Company>maike</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马峰</dc:creator>
  <cp:keywords/>
  <dc:description/>
  <cp:lastModifiedBy>马峰</cp:lastModifiedBy>
  <cp:revision>9</cp:revision>
  <dcterms:created xsi:type="dcterms:W3CDTF">2013-09-16T02:27:00Z</dcterms:created>
  <dcterms:modified xsi:type="dcterms:W3CDTF">2013-11-05T07:04:00Z</dcterms:modified>
</cp:coreProperties>
</file>