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pPr>
      <w:r>
        <w:rPr>
          <w:rFonts w:hint="eastAsia"/>
        </w:rPr>
        <w:sym w:font="Wingdings" w:char="F0D8"/>
      </w:r>
      <w:r>
        <w:rPr>
          <w:rFonts w:hint="eastAsia"/>
        </w:rPr>
        <w:t>供需格局改变，油脂维持强势</w:t>
      </w:r>
    </w:p>
    <w:p>
      <w:pPr>
        <w:pStyle w:val="2"/>
      </w:pPr>
      <w:r>
        <w:rPr>
          <w:rFonts w:hint="eastAsia"/>
        </w:rPr>
        <w:t>豆油：供需格局改变，豆油价格重心有望抬升</w:t>
      </w:r>
    </w:p>
    <w:p>
      <w:pPr>
        <w:pStyle w:val="3"/>
        <w:jc w:val="left"/>
      </w:pPr>
      <w:bookmarkStart w:id="0" w:name="_GoBack"/>
      <w:r>
        <w:rPr>
          <w:rFonts w:hint="eastAsia"/>
        </w:rPr>
        <w:t>11月豆油的重点在于供需格局的改变、国际市场的影响、资金关注度提高。</w:t>
      </w:r>
    </w:p>
    <w:p>
      <w:pPr>
        <w:pStyle w:val="3"/>
        <w:jc w:val="left"/>
      </w:pPr>
      <w:r>
        <w:rPr>
          <w:rFonts w:hint="eastAsia"/>
        </w:rPr>
        <w:t>在2013年的前三个季度中，我们对于豆油的评价一直是在国际市场豆类商品整体供需宽松的大背景下，豆油自身需求疲软导致价格异常低迷，其跌幅引领整个豆类商品。同时油粕比的不断下滑也是这波下跌中套利资金关注的焦点。这两点成为今年年度豆油相关行情的两大亮点。而同时，我们在10月份月报中已经提及，豆油的转折点将会出现在10月，10月是价格稳定以及过渡时期，而其正式回升的行情将会出现在11月，尽管过程可能不太顺利。</w:t>
      </w:r>
    </w:p>
    <w:p>
      <w:pPr>
        <w:pStyle w:val="3"/>
        <w:jc w:val="left"/>
      </w:pPr>
      <w:r>
        <w:rPr>
          <w:rFonts w:hint="eastAsia"/>
        </w:rPr>
        <w:t>基于这个论点，我们将从豆油自身的供需结构改变、国际市场影响以及资金态度等方面进行分析。简单来说，我们认为豆油的旺季需求将会在11月份开始启动，这将从终端开始改变豆油的供需宽松结构；而国际市场的影响来自于CBOT与BMD的背离走势影响，将会令豆油走势变得复杂；而资金方面我们认为在这个季节油脂将会吸引更多的资金关注，同时价格一旦突破空头成本地带，将会迎来多空双方的激烈争夺，并正式将价格重心抬升。</w:t>
      </w:r>
    </w:p>
    <w:p>
      <w:pPr>
        <w:pStyle w:val="3"/>
        <w:jc w:val="left"/>
      </w:pPr>
      <w:r>
        <w:rPr>
          <w:rFonts w:hint="eastAsia"/>
        </w:rPr>
        <w:t>a．豆油旺季需求或将启动，有望改变短期供需宽松格局</w:t>
      </w:r>
    </w:p>
    <w:p>
      <w:pPr>
        <w:pStyle w:val="3"/>
        <w:jc w:val="left"/>
      </w:pPr>
      <w:r>
        <w:rPr>
          <w:rFonts w:hint="eastAsia"/>
        </w:rPr>
        <w:t>从中国经济飞速发展以来，对于油脂品的消耗需求不断攀升，中国的人均食用油消费也快速上升至21kg/年/人以上，基本达到国际平均水平。而从2012年开始，达到瓶颈期的油脂开始出现增长障碍，尤其是国内市场，政府仍旧对生物柴油发展限制，油脂品的消费端大头在于食用，其余医用工业消耗几可忽略，在这种单一消费群体进入瓶颈而又缺乏其他增长亮点的情况下，伴随新年度国际大豆产量大幅增加，以及政府有力的反腐打击，豆油的供需宽松格局造就了其不断下滑疲软的趋势。因此，我们对于豆油的分析是基于这个背景来进行的，任何的旺季消费都难以越过这个大环境。</w:t>
      </w:r>
    </w:p>
    <w:p>
      <w:pPr>
        <w:pStyle w:val="3"/>
        <w:jc w:val="left"/>
      </w:pPr>
      <w:r>
        <w:rPr>
          <w:rFonts w:hint="eastAsia"/>
        </w:rPr>
        <w:t>而在大背景宽松的基础上，豆油自身存在着规律性的消费淡旺季周期，而每年的四季度，尤其是春节前一个多月的备货期则是豆油最为重要的消费旺季。</w:t>
      </w:r>
    </w:p>
    <w:p>
      <w:pPr>
        <w:pStyle w:val="3"/>
        <w:jc w:val="left"/>
      </w:pPr>
      <w:r>
        <w:rPr>
          <w:rFonts w:hint="eastAsia"/>
        </w:rPr>
        <w:t xml:space="preserve"> 今年的春节从1月底开始，按照惯例，从12月开始豆油现货市场将会开始正式提前备货，准备囤积油脂品来度过春节消费旺季。而我们认为今年从11月开始现货市场就会逐渐转好。</w:t>
      </w:r>
    </w:p>
    <w:p>
      <w:pPr>
        <w:pStyle w:val="3"/>
        <w:jc w:val="left"/>
      </w:pPr>
      <w:r>
        <w:rPr>
          <w:rFonts w:hint="eastAsia"/>
        </w:rPr>
        <w:t>首先从近几个月的现货成交情况来看，市场情绪开始回暖。</w:t>
      </w:r>
    </w:p>
    <w:p>
      <w:pPr>
        <w:pStyle w:val="3"/>
        <w:jc w:val="left"/>
      </w:pPr>
      <w:r>
        <w:rPr>
          <w:rFonts w:hint="eastAsia"/>
        </w:rPr>
        <w:t>根据我们统计的站点显示，10月份豆油的成交情况较9月份有了明显改善，日均成交量从11000吨迅速回升至16500吨左右。成交量的迅速回升固然有10月份期现价格触底反弹带来的帮助以外，我们认为还有时间节点逐渐临近消费旺季这一因素存在。我们将8月份与10月份进行对比，可以看到，8月份与10月份一样，期货豆油价格均从6900一线开始反弹，但8月份价格最高触及7400以上，而10月份价格最高仅7300一线，而且8月份的价格交易重心在7250一带，而10月份的价格重心则相对偏低，在7150一带。偏低的价格却带来更好的现货成交，10月份的成交量不仅较9月份大幅增加，较8月份同样也有10%的增量，我们认为这是现货市场对后市看好的一个信号。因此，11月份的市场需求可能会继续上升，预计豆油需求能够达到90到100万吨左右。</w:t>
      </w:r>
    </w:p>
    <w:bookmarkEnd w:id="0"/>
    <w:p>
      <w:pPr>
        <w:pStyle w:val="3"/>
      </w:pPr>
      <w:r>
        <w:rPr>
          <w:rFonts w:hint="eastAsia"/>
        </w:rPr>
        <w:t>其次，豆油的供应压力有所改善。</w:t>
      </w:r>
    </w:p>
    <w:p>
      <w:pPr>
        <w:spacing w:line="276" w:lineRule="auto"/>
        <w:ind w:left="1842" w:leftChars="877" w:firstLine="424" w:firstLineChars="202"/>
        <w:rPr>
          <w:rFonts w:eastAsia="宋体"/>
          <w:szCs w:val="20"/>
        </w:rPr>
      </w:pPr>
      <w:r>
        <w:rPr>
          <w:rFonts w:hint="eastAsia" w:eastAsia="宋体"/>
          <w:szCs w:val="20"/>
        </w:rPr>
        <w:t>与11月份的需求量很有可能进一步上升相对应的是，同时期的供应量将有可能下滑。</w:t>
      </w:r>
    </w:p>
    <w:p>
      <w:pPr>
        <w:spacing w:line="276" w:lineRule="auto"/>
        <w:ind w:left="1842" w:leftChars="877" w:firstLine="424" w:firstLineChars="202"/>
        <w:rPr>
          <w:rFonts w:eastAsia="宋体"/>
          <w:szCs w:val="20"/>
        </w:rPr>
      </w:pPr>
      <w:r>
        <w:rPr>
          <w:rFonts w:hint="eastAsia" w:eastAsia="宋体"/>
          <w:szCs w:val="20"/>
        </w:rPr>
        <w:t>根据粮油商务网公布的船期数据来看，10月份，我国进口大豆约为507万吨，11月份可能会上升至594万吨。同时截止10月31日，大豆港口库存约为</w:t>
      </w:r>
      <w:r>
        <w:rPr>
          <w:rFonts w:hint="eastAsia" w:ascii="宋体" w:hAnsi="宋体"/>
          <w:szCs w:val="20"/>
        </w:rPr>
        <w:t>596.6</w:t>
      </w:r>
      <w:r>
        <w:rPr>
          <w:rFonts w:hint="eastAsia" w:eastAsia="宋体"/>
          <w:szCs w:val="20"/>
        </w:rPr>
        <w:t>万吨，较之9月底</w:t>
      </w:r>
      <w:r>
        <w:rPr>
          <w:rFonts w:hint="eastAsia" w:ascii="宋体" w:hAnsi="宋体"/>
          <w:szCs w:val="20"/>
        </w:rPr>
        <w:t>的606.2万吨减少了约10万吨左右</w:t>
      </w:r>
      <w:r>
        <w:rPr>
          <w:rFonts w:hint="eastAsia" w:eastAsia="宋体"/>
          <w:szCs w:val="20"/>
        </w:rPr>
        <w:t>。大豆进口量的上升</w:t>
      </w:r>
      <w:r>
        <w:rPr>
          <w:rFonts w:hint="eastAsia" w:ascii="宋体" w:hAnsi="宋体"/>
          <w:szCs w:val="20"/>
        </w:rPr>
        <w:t>抵消港口库存的下降,</w:t>
      </w:r>
      <w:r>
        <w:rPr>
          <w:rFonts w:hint="eastAsia" w:eastAsia="宋体"/>
          <w:szCs w:val="20"/>
        </w:rPr>
        <w:t>无疑会令豆油的理论供应量增加</w:t>
      </w:r>
      <w:r>
        <w:rPr>
          <w:rFonts w:hint="eastAsia" w:ascii="宋体" w:hAnsi="宋体"/>
          <w:szCs w:val="20"/>
        </w:rPr>
        <w:t>。</w:t>
      </w:r>
    </w:p>
    <w:p>
      <w:pPr>
        <w:spacing w:line="276" w:lineRule="auto"/>
        <w:ind w:left="1842" w:leftChars="877" w:firstLine="424" w:firstLineChars="202"/>
        <w:rPr>
          <w:rFonts w:ascii="宋体" w:hAnsi="宋体"/>
          <w:szCs w:val="20"/>
        </w:rPr>
      </w:pPr>
      <w:r>
        <w:rPr>
          <w:rFonts w:hint="eastAsia" w:eastAsia="宋体"/>
          <w:szCs w:val="20"/>
        </w:rPr>
        <w:t>但是实际的开机率并没有伴随大豆供应量的增加而增加，根据统计数据来看，9月份的全国油厂平均开机率约为51.1%，而10月份的平均开机率则下降至44.61%左右，</w:t>
      </w:r>
      <w:r>
        <w:rPr>
          <w:rFonts w:hint="eastAsia" w:ascii="宋体" w:hAnsi="宋体"/>
          <w:szCs w:val="20"/>
        </w:rPr>
        <w:t>开机率的下降以及成交量开始上升令豆油库存压力有所缓解，到10月底，除了东北地区豆油库存略有上升外，其余天津、山东、广西等地的豆油库存均有所下滑。</w:t>
      </w:r>
      <w:r>
        <w:rPr>
          <w:rFonts w:hint="eastAsia" w:eastAsia="宋体"/>
          <w:szCs w:val="20"/>
        </w:rPr>
        <w:t>这样无形中就令11月</w:t>
      </w:r>
      <w:r>
        <w:rPr>
          <w:rFonts w:hint="eastAsia" w:ascii="宋体" w:hAnsi="宋体"/>
          <w:szCs w:val="20"/>
        </w:rPr>
        <w:t>豆油</w:t>
      </w:r>
      <w:r>
        <w:rPr>
          <w:rFonts w:hint="eastAsia" w:eastAsia="宋体"/>
          <w:szCs w:val="20"/>
        </w:rPr>
        <w:t>的初期供应量下降。而根据调查所得的油厂开机计划，我们预计在11月，油厂的平均开机率在50%左右，那么我们得到一个结论，11月的豆油实际供应量是要低于9月份以及10月份的。</w:t>
      </w:r>
    </w:p>
    <w:p>
      <w:pPr>
        <w:rPr>
          <w:rFonts w:ascii="宋体" w:hAnsi="宋体"/>
          <w:sz w:val="18"/>
          <w:szCs w:val="18"/>
        </w:rPr>
      </w:pPr>
      <w:r>
        <w:rPr>
          <w:rFonts w:hint="eastAsia" w:ascii="宋体" w:hAnsi="宋体"/>
          <w:szCs w:val="20"/>
        </w:rPr>
        <w:t xml:space="preserve">                 </w:t>
      </w:r>
      <w:r>
        <w:rPr>
          <w:rFonts w:hint="eastAsia" w:ascii="宋体" w:hAnsi="宋体"/>
          <w:sz w:val="18"/>
          <w:szCs w:val="18"/>
        </w:rPr>
        <w:t>表1：2013年9月及10月全国主要地区豆油库存</w:t>
      </w:r>
    </w:p>
    <w:tbl>
      <w:tblPr>
        <w:tblW w:w="8273" w:type="dxa"/>
        <w:tblInd w:w="18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1576"/>
        <w:gridCol w:w="1629"/>
        <w:gridCol w:w="1629"/>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10" w:type="dxa"/>
            <w:vAlign w:val="top"/>
          </w:tcPr>
          <w:p>
            <w:pPr>
              <w:jc w:val="center"/>
              <w:rPr>
                <w:rFonts w:ascii="宋体" w:hAnsi="宋体"/>
                <w:sz w:val="18"/>
                <w:szCs w:val="18"/>
              </w:rPr>
            </w:pPr>
            <w:r>
              <w:rPr>
                <w:rFonts w:hint="eastAsia" w:ascii="宋体" w:hAnsi="宋体"/>
                <w:sz w:val="18"/>
                <w:szCs w:val="18"/>
              </w:rPr>
              <w:t>豆油库存（万吨）</w:t>
            </w:r>
          </w:p>
        </w:tc>
        <w:tc>
          <w:tcPr>
            <w:tcW w:w="1576" w:type="dxa"/>
            <w:vAlign w:val="top"/>
          </w:tcPr>
          <w:p>
            <w:pPr>
              <w:jc w:val="center"/>
              <w:rPr>
                <w:rFonts w:ascii="宋体" w:hAnsi="宋体"/>
                <w:sz w:val="18"/>
                <w:szCs w:val="18"/>
              </w:rPr>
            </w:pPr>
            <w:r>
              <w:rPr>
                <w:rFonts w:hint="eastAsia" w:ascii="宋体" w:hAnsi="宋体"/>
                <w:sz w:val="18"/>
                <w:szCs w:val="18"/>
              </w:rPr>
              <w:t>东北</w:t>
            </w:r>
          </w:p>
        </w:tc>
        <w:tc>
          <w:tcPr>
            <w:tcW w:w="1629" w:type="dxa"/>
            <w:vAlign w:val="top"/>
          </w:tcPr>
          <w:p>
            <w:pPr>
              <w:jc w:val="center"/>
              <w:rPr>
                <w:rFonts w:ascii="宋体" w:hAnsi="宋体"/>
                <w:sz w:val="18"/>
                <w:szCs w:val="18"/>
              </w:rPr>
            </w:pPr>
            <w:r>
              <w:rPr>
                <w:rFonts w:hint="eastAsia" w:ascii="宋体" w:hAnsi="宋体"/>
                <w:sz w:val="18"/>
                <w:szCs w:val="18"/>
              </w:rPr>
              <w:t>天津</w:t>
            </w:r>
          </w:p>
        </w:tc>
        <w:tc>
          <w:tcPr>
            <w:tcW w:w="1629" w:type="dxa"/>
            <w:vAlign w:val="top"/>
          </w:tcPr>
          <w:p>
            <w:pPr>
              <w:jc w:val="center"/>
              <w:rPr>
                <w:rFonts w:ascii="宋体" w:hAnsi="宋体"/>
                <w:sz w:val="18"/>
                <w:szCs w:val="18"/>
              </w:rPr>
            </w:pPr>
            <w:r>
              <w:rPr>
                <w:rFonts w:hint="eastAsia" w:ascii="宋体" w:hAnsi="宋体"/>
                <w:sz w:val="18"/>
                <w:szCs w:val="18"/>
              </w:rPr>
              <w:t>山东</w:t>
            </w:r>
          </w:p>
        </w:tc>
        <w:tc>
          <w:tcPr>
            <w:tcW w:w="1629" w:type="dxa"/>
            <w:vAlign w:val="top"/>
          </w:tcPr>
          <w:p>
            <w:pPr>
              <w:jc w:val="center"/>
              <w:rPr>
                <w:rFonts w:ascii="宋体" w:hAnsi="宋体"/>
                <w:sz w:val="18"/>
                <w:szCs w:val="18"/>
              </w:rPr>
            </w:pPr>
            <w:r>
              <w:rPr>
                <w:rFonts w:hint="eastAsia" w:ascii="宋体" w:hAnsi="宋体"/>
                <w:sz w:val="18"/>
                <w:szCs w:val="18"/>
              </w:rPr>
              <w:t>广西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10" w:type="dxa"/>
            <w:vAlign w:val="top"/>
          </w:tcPr>
          <w:p>
            <w:pPr>
              <w:jc w:val="center"/>
              <w:rPr>
                <w:rFonts w:ascii="宋体" w:hAnsi="宋体"/>
                <w:sz w:val="18"/>
                <w:szCs w:val="18"/>
              </w:rPr>
            </w:pPr>
            <w:r>
              <w:rPr>
                <w:rFonts w:hint="eastAsia" w:ascii="宋体" w:hAnsi="宋体"/>
                <w:sz w:val="18"/>
                <w:szCs w:val="18"/>
              </w:rPr>
              <w:t>9月</w:t>
            </w:r>
          </w:p>
        </w:tc>
        <w:tc>
          <w:tcPr>
            <w:tcW w:w="1576" w:type="dxa"/>
            <w:vAlign w:val="top"/>
          </w:tcPr>
          <w:p>
            <w:pPr>
              <w:jc w:val="center"/>
              <w:rPr>
                <w:rFonts w:ascii="宋体" w:hAnsi="宋体"/>
                <w:sz w:val="18"/>
                <w:szCs w:val="18"/>
              </w:rPr>
            </w:pPr>
            <w:r>
              <w:rPr>
                <w:rFonts w:hint="eastAsia" w:ascii="宋体" w:hAnsi="宋体"/>
                <w:sz w:val="18"/>
                <w:szCs w:val="18"/>
              </w:rPr>
              <w:t>10.8</w:t>
            </w:r>
          </w:p>
        </w:tc>
        <w:tc>
          <w:tcPr>
            <w:tcW w:w="1629" w:type="dxa"/>
            <w:vAlign w:val="top"/>
          </w:tcPr>
          <w:p>
            <w:pPr>
              <w:jc w:val="center"/>
              <w:rPr>
                <w:rFonts w:ascii="宋体" w:hAnsi="宋体"/>
                <w:sz w:val="18"/>
                <w:szCs w:val="18"/>
              </w:rPr>
            </w:pPr>
            <w:r>
              <w:rPr>
                <w:rFonts w:hint="eastAsia" w:ascii="宋体" w:hAnsi="宋体"/>
                <w:sz w:val="18"/>
                <w:szCs w:val="18"/>
              </w:rPr>
              <w:t>17.4</w:t>
            </w:r>
          </w:p>
        </w:tc>
        <w:tc>
          <w:tcPr>
            <w:tcW w:w="1629" w:type="dxa"/>
            <w:vAlign w:val="top"/>
          </w:tcPr>
          <w:p>
            <w:pPr>
              <w:jc w:val="center"/>
              <w:rPr>
                <w:rFonts w:ascii="宋体" w:hAnsi="宋体"/>
                <w:sz w:val="18"/>
                <w:szCs w:val="18"/>
              </w:rPr>
            </w:pPr>
            <w:r>
              <w:rPr>
                <w:rFonts w:hint="eastAsia" w:ascii="宋体" w:hAnsi="宋体"/>
                <w:sz w:val="18"/>
                <w:szCs w:val="18"/>
              </w:rPr>
              <w:t>13.95</w:t>
            </w:r>
          </w:p>
        </w:tc>
        <w:tc>
          <w:tcPr>
            <w:tcW w:w="1629" w:type="dxa"/>
            <w:vAlign w:val="top"/>
          </w:tcPr>
          <w:p>
            <w:pPr>
              <w:jc w:val="center"/>
              <w:rPr>
                <w:rFonts w:ascii="宋体" w:hAnsi="宋体"/>
                <w:sz w:val="18"/>
                <w:szCs w:val="18"/>
              </w:rPr>
            </w:pPr>
            <w:r>
              <w:rPr>
                <w:rFonts w:hint="eastAsia" w:ascii="宋体" w:hAnsi="宋体"/>
                <w:sz w:val="18"/>
                <w:szCs w:val="18"/>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10" w:type="dxa"/>
            <w:vAlign w:val="top"/>
          </w:tcPr>
          <w:p>
            <w:pPr>
              <w:jc w:val="center"/>
              <w:rPr>
                <w:rFonts w:ascii="宋体" w:hAnsi="宋体"/>
                <w:sz w:val="18"/>
                <w:szCs w:val="18"/>
              </w:rPr>
            </w:pPr>
            <w:r>
              <w:rPr>
                <w:rFonts w:hint="eastAsia" w:ascii="宋体" w:hAnsi="宋体"/>
                <w:sz w:val="18"/>
                <w:szCs w:val="18"/>
              </w:rPr>
              <w:t>10月</w:t>
            </w:r>
          </w:p>
        </w:tc>
        <w:tc>
          <w:tcPr>
            <w:tcW w:w="1576" w:type="dxa"/>
            <w:vAlign w:val="top"/>
          </w:tcPr>
          <w:p>
            <w:pPr>
              <w:jc w:val="center"/>
              <w:rPr>
                <w:rFonts w:ascii="宋体" w:hAnsi="宋体"/>
                <w:sz w:val="18"/>
                <w:szCs w:val="18"/>
              </w:rPr>
            </w:pPr>
            <w:r>
              <w:rPr>
                <w:rFonts w:hint="eastAsia" w:ascii="宋体" w:hAnsi="宋体"/>
                <w:sz w:val="18"/>
                <w:szCs w:val="18"/>
              </w:rPr>
              <w:t>11.11</w:t>
            </w:r>
          </w:p>
        </w:tc>
        <w:tc>
          <w:tcPr>
            <w:tcW w:w="1629" w:type="dxa"/>
            <w:vAlign w:val="top"/>
          </w:tcPr>
          <w:p>
            <w:pPr>
              <w:jc w:val="center"/>
              <w:rPr>
                <w:rFonts w:ascii="宋体" w:hAnsi="宋体"/>
                <w:sz w:val="18"/>
                <w:szCs w:val="18"/>
              </w:rPr>
            </w:pPr>
            <w:r>
              <w:rPr>
                <w:rFonts w:hint="eastAsia" w:ascii="宋体" w:hAnsi="宋体"/>
                <w:sz w:val="18"/>
                <w:szCs w:val="18"/>
              </w:rPr>
              <w:t>14.9</w:t>
            </w:r>
          </w:p>
        </w:tc>
        <w:tc>
          <w:tcPr>
            <w:tcW w:w="1629" w:type="dxa"/>
            <w:vAlign w:val="top"/>
          </w:tcPr>
          <w:p>
            <w:pPr>
              <w:jc w:val="center"/>
              <w:rPr>
                <w:rFonts w:ascii="宋体" w:hAnsi="宋体"/>
                <w:sz w:val="18"/>
                <w:szCs w:val="18"/>
              </w:rPr>
            </w:pPr>
            <w:r>
              <w:rPr>
                <w:rFonts w:hint="eastAsia" w:ascii="宋体" w:hAnsi="宋体"/>
                <w:sz w:val="18"/>
                <w:szCs w:val="18"/>
              </w:rPr>
              <w:t>9.65</w:t>
            </w:r>
          </w:p>
        </w:tc>
        <w:tc>
          <w:tcPr>
            <w:tcW w:w="1629" w:type="dxa"/>
            <w:vAlign w:val="top"/>
          </w:tcPr>
          <w:p>
            <w:pPr>
              <w:jc w:val="center"/>
              <w:rPr>
                <w:rFonts w:ascii="宋体" w:hAnsi="宋体"/>
                <w:sz w:val="18"/>
                <w:szCs w:val="18"/>
              </w:rPr>
            </w:pPr>
            <w:r>
              <w:rPr>
                <w:rFonts w:hint="eastAsia" w:ascii="宋体" w:hAnsi="宋体"/>
                <w:sz w:val="18"/>
                <w:szCs w:val="18"/>
              </w:rPr>
              <w:t>7.24</w:t>
            </w:r>
          </w:p>
        </w:tc>
      </w:tr>
    </w:tbl>
    <w:p>
      <w:pPr>
        <w:ind w:left="1842" w:leftChars="877" w:firstLine="424" w:firstLineChars="202"/>
        <w:rPr>
          <w:rFonts w:eastAsia="宋体"/>
          <w:szCs w:val="20"/>
        </w:rPr>
      </w:pPr>
    </w:p>
    <w:p>
      <w:pPr>
        <w:ind w:left="1842" w:leftChars="877" w:firstLine="424" w:firstLineChars="202"/>
        <w:rPr>
          <w:rFonts w:eastAsia="宋体"/>
          <w:szCs w:val="20"/>
        </w:rPr>
      </w:pPr>
      <w:r>
        <w:rPr>
          <w:rFonts w:hint="eastAsia" w:eastAsia="宋体"/>
          <w:szCs w:val="20"/>
        </w:rPr>
        <w:t>因此，在11月份很有可能因为消费旺季即将到来而刺激市场情绪回暖，并令需求量增加的同时，同期的供应量却很有可能下滑，而即使供应量保持稳定乃至于供应量小幅增加，那么在中间环节贸易商因前期市场低迷而导致手中存货偏低，市场氛围又开始好转的情况下，我们预计供需格局也会在需求量回升的刺激下从宽松向平衡过渡。</w:t>
      </w:r>
    </w:p>
    <w:p>
      <w:pPr>
        <w:pStyle w:val="3"/>
      </w:pPr>
      <w:r>
        <w:rPr>
          <w:rFonts w:hint="eastAsia"/>
        </w:rPr>
        <w:t>最后，到11月份13/14年度美豆将会陆续运抵中国，我们在此前的几份月报中已经提到，新作美豆的出油率是要低于前两年的，这将在一定程度上改变油粕产出比例，尽管对于油粕的产量不会出现大幅改变，但是能够略微缓解豆油的供应压力，并在豆油短期供需格局开始出现变化的情况下辅助豆油价格重心向上运行。</w:t>
      </w:r>
    </w:p>
    <w:p>
      <w:pPr>
        <w:pStyle w:val="3"/>
      </w:pPr>
    </w:p>
    <w:p>
      <w:pPr>
        <w:pStyle w:val="3"/>
      </w:pPr>
      <w:r>
        <w:rPr>
          <w:rFonts w:hint="eastAsia"/>
        </w:rPr>
        <w:t>b．国际市场影响因素相悖，令豆油走势复杂</w:t>
      </w:r>
    </w:p>
    <w:p>
      <w:pPr>
        <w:spacing w:line="276" w:lineRule="auto"/>
        <w:ind w:left="1984" w:leftChars="945" w:firstLine="420" w:firstLineChars="200"/>
        <w:rPr>
          <w:rFonts w:eastAsia="宋体"/>
          <w:szCs w:val="20"/>
        </w:rPr>
      </w:pPr>
      <w:r>
        <w:rPr>
          <w:rFonts w:hint="eastAsia" w:eastAsia="宋体"/>
          <w:szCs w:val="20"/>
        </w:rPr>
        <w:t>我们认为在11月份，国际市场对豆油的影响是比较复杂的。众所周知，豆油的终极趋势是跟随美豆的，但是同时又受到BMD棕榈油的影响。而在10月下旬，CBOT美豆与BMD棕油走势几乎相背离。</w:t>
      </w:r>
    </w:p>
    <w:p>
      <w:pPr>
        <w:spacing w:line="276" w:lineRule="auto"/>
        <w:ind w:left="1982" w:leftChars="944" w:firstLine="424" w:firstLineChars="202"/>
        <w:rPr>
          <w:rFonts w:eastAsia="宋体"/>
          <w:szCs w:val="20"/>
        </w:rPr>
      </w:pPr>
      <w:r>
        <w:rPr>
          <w:rFonts w:hint="eastAsia" w:eastAsia="宋体"/>
          <w:szCs w:val="20"/>
        </w:rPr>
        <w:t>CBOT市场预期在11月公布的美农月度供需报告将会上调美豆13/14年度产量，因为美农在近几期的作物生长报告中上调了优良率，</w:t>
      </w:r>
      <w:r>
        <w:rPr>
          <w:rFonts w:hint="eastAsia" w:ascii="宋体" w:hAnsi="宋体"/>
          <w:szCs w:val="20"/>
        </w:rPr>
        <w:t>将原本已经下滑至50%的优良率上调至57%。</w:t>
      </w:r>
      <w:r>
        <w:rPr>
          <w:rFonts w:hint="eastAsia" w:eastAsia="宋体"/>
          <w:szCs w:val="20"/>
        </w:rPr>
        <w:t>而且从已经收割的美豆来看，其单产是不错的。预计综合单产很有可能达到</w:t>
      </w:r>
      <w:r>
        <w:rPr>
          <w:rFonts w:hint="eastAsia" w:ascii="宋体" w:hAnsi="宋体"/>
          <w:szCs w:val="20"/>
        </w:rPr>
        <w:t>42.5蒲式耳/英亩以上</w:t>
      </w:r>
      <w:r>
        <w:rPr>
          <w:rFonts w:hint="eastAsia" w:eastAsia="宋体"/>
          <w:szCs w:val="20"/>
        </w:rPr>
        <w:t>，因此从产量角度来看，丰产数据将会在11</w:t>
      </w:r>
      <w:r>
        <w:rPr>
          <w:rFonts w:hint="eastAsia" w:ascii="宋体" w:hAnsi="宋体"/>
          <w:szCs w:val="20"/>
        </w:rPr>
        <w:t>月月度供需报告中得到最直接的体现。</w:t>
      </w:r>
      <w:r>
        <w:rPr>
          <w:rFonts w:hint="eastAsia" w:eastAsia="宋体"/>
          <w:szCs w:val="20"/>
        </w:rPr>
        <w:t>对报告的利空预期令CBOT市场收获性压力成为近期主旋律，</w:t>
      </w:r>
      <w:r>
        <w:rPr>
          <w:rFonts w:hint="eastAsia" w:ascii="宋体" w:hAnsi="宋体"/>
          <w:szCs w:val="20"/>
        </w:rPr>
        <w:t>美豆</w:t>
      </w:r>
      <w:r>
        <w:rPr>
          <w:rFonts w:hint="eastAsia" w:eastAsia="宋体"/>
          <w:szCs w:val="20"/>
        </w:rPr>
        <w:t>价格持续低迷</w:t>
      </w:r>
      <w:r>
        <w:rPr>
          <w:rFonts w:hint="eastAsia" w:ascii="宋体" w:hAnsi="宋体"/>
          <w:szCs w:val="20"/>
        </w:rPr>
        <w:t>，市场预期美豆价格可能会进一步下滑至1200-1220美分一线，探寻成本支撑</w:t>
      </w:r>
      <w:r>
        <w:rPr>
          <w:rFonts w:hint="eastAsia" w:eastAsia="宋体"/>
          <w:szCs w:val="20"/>
        </w:rPr>
        <w:t>。</w:t>
      </w:r>
    </w:p>
    <w:p>
      <w:pPr>
        <w:spacing w:line="276" w:lineRule="auto"/>
        <w:ind w:left="1982" w:leftChars="944" w:firstLine="424" w:firstLineChars="202"/>
        <w:rPr>
          <w:rFonts w:ascii="宋体" w:hAnsi="宋体"/>
          <w:szCs w:val="20"/>
        </w:rPr>
      </w:pPr>
      <w:r>
        <w:rPr>
          <w:rFonts w:hint="eastAsia" w:eastAsia="宋体"/>
          <w:szCs w:val="20"/>
        </w:rPr>
        <w:t>而与此同时，BMD市场却在10月份马来西亚棕榈油产量低于预期的刺激下不断走高。根据历史规律，每年的10月份</w:t>
      </w:r>
      <w:r>
        <w:rPr>
          <w:rFonts w:hint="eastAsia" w:ascii="宋体" w:hAnsi="宋体"/>
          <w:szCs w:val="20"/>
        </w:rPr>
        <w:t>基本上都是棕榈油产量高峰之中的高峰，而此前马来西亚国内种植园现货商预期10月份棕榈油的产量将会在9月份的基础上继续以10%以上的增幅来增加，市场也一直处于产量施压库存继续上升的偏空氛围之中，BMD价格一度跳空下挫，最低跌至2300以下。但是由于暴雨袭击等天气问题，10月份产量很有可能达不到预期，甚至会低于9月份产量，而天气预报显示11月上旬仍旧会影响棕榈收割进而影响棕榈油产量。因此，在意外利多因素的刺激下，BMD棕榈油价格一路走高，挑战年内新高。同时也预期11月份的马来西亚棕榈油局公布的月度供需报告以产量下调库存下调为利多低调。（BMD盘面走势下文棕榈油部分详细分析）</w:t>
      </w:r>
    </w:p>
    <w:p>
      <w:pPr>
        <w:spacing w:line="276" w:lineRule="auto"/>
        <w:ind w:left="1982" w:leftChars="944" w:firstLine="424" w:firstLineChars="202"/>
        <w:rPr>
          <w:rFonts w:ascii="宋体" w:hAnsi="宋体"/>
          <w:szCs w:val="20"/>
        </w:rPr>
      </w:pPr>
      <w:r>
        <w:rPr>
          <w:rFonts w:hint="eastAsia" w:ascii="宋体" w:hAnsi="宋体"/>
          <w:szCs w:val="20"/>
        </w:rPr>
        <w:t>可以看出，几乎同时期公布的两份对豆油都有影响的供需报告呈现出截然相反的效果，这也令近期豆油走势变得更加复杂。而我们认为，基于11月份已经是美豆收获性压力炒作的第三个月份，尽管也是最重要的一个月份，但是利空压力已经持续消耗，同时美豆出油率下降、内盘油粕比改变等综合因素的作用，在本阶段，国内豆油对于马来西亚棕榈油的敏感度要高于对CBOT的敏感度。而越到后期，豆油的需求旺季作用会越来越明显，市场情绪对于利多因素也会越来越敏感，因此我们认为，在11月份豆油价格重心上移的趋势不会改变，但是过程会相对复杂一些，将会以震荡上移的形式来完成。</w:t>
      </w:r>
    </w:p>
    <w:p>
      <w:pPr>
        <w:spacing w:line="276" w:lineRule="auto"/>
        <w:ind w:left="1982" w:leftChars="944" w:firstLine="424" w:firstLineChars="202"/>
        <w:rPr>
          <w:rFonts w:eastAsia="宋体"/>
          <w:szCs w:val="20"/>
        </w:rPr>
      </w:pPr>
    </w:p>
    <w:p>
      <w:pPr>
        <w:pStyle w:val="3"/>
      </w:pPr>
      <w:r>
        <w:rPr>
          <w:rFonts w:hint="eastAsia"/>
        </w:rPr>
        <w:t>c．资金格局变化以及价格变动</w:t>
      </w:r>
    </w:p>
    <w:p>
      <w:pPr>
        <w:pStyle w:val="3"/>
      </w:pPr>
      <w:r>
        <w:rPr>
          <w:rFonts w:hint="eastAsia"/>
        </w:rPr>
        <w:t>我们对于豆油资金的持续关注中，不断提到6900以及7300两个重要价格。其中6900是刚性成本线，在8月以及10月行情中两次验证这一关口的重要作用，而7300作为空头主力成本线以及保值仓单入场区间也已经在9月份得到验证，目前主力1405合约价格正在7300区间进行回撤再度冲击的动作。</w:t>
      </w:r>
    </w:p>
    <w:p>
      <w:pPr>
        <w:pStyle w:val="3"/>
      </w:pPr>
      <w:r>
        <w:rPr>
          <w:rFonts w:hint="eastAsia"/>
        </w:rPr>
        <w:t>而在这个过程中，资金的表现值得关注，我们发现在10月初价格再度下滑至6900的时候，此前布局在6900成本线的多头主力并没有动作，也就是说没有新的主力进场。那么10月份价格的上行动作仍旧是以空头散户主动离场引发的反弹，那么在缺乏新多头托盘的情况下，7300一带必然会再度遭遇压力，很难一次性突破。而投资者需要关注的就是，在回撤的过程中，是否会有多头主力入驻。</w:t>
      </w:r>
    </w:p>
    <w:p>
      <w:pPr>
        <w:pStyle w:val="3"/>
      </w:pPr>
      <w:r>
        <w:rPr>
          <w:rFonts w:hint="eastAsia"/>
        </w:rPr>
        <w:t>而在10月末豆油1405合约价格再度下滑，价格趋向7050的过程中，我们看到了多头资金的入场行为，可以说，趋势下滑中的多头资金入场其重要性是要高于上涨中的追盘资金作用的。我们得到了多头的二线成本在7050-7150之间。随后在棕榈油拉高的带领下，豆油价格持续攀升，再度冲击7300压力，这过程中，资金关注度越来越高，可以看到，出现了新的多头机构入场。而更为重要的是，出现了多空对峙的局面，我们认为这种资金结构是最好的趋势延续结构。一边倒的资金结构反而很难将趋势延续下去。</w:t>
      </w:r>
    </w:p>
    <w:p>
      <w:pPr>
        <w:pStyle w:val="3"/>
      </w:pPr>
      <w:r>
        <w:rPr>
          <w:rFonts w:hint="eastAsia"/>
        </w:rPr>
        <w:t>那么结合前面对豆油基本面的分析，以及10月末资金结构的变化，我们认为本轮豆油价格的上行冲破7300压力的可能性很高。</w:t>
      </w:r>
    </w:p>
    <w:p>
      <w:pPr>
        <w:pStyle w:val="3"/>
      </w:pPr>
      <w:r>
        <w:rPr>
          <w:rFonts w:hint="eastAsia"/>
        </w:rPr>
        <w:t>对于后期资金变动，我们需要投资者注意，空头成本并非一个价格点位，而是7300-7400这个价格区间，在这个区间将会再度迎来多空激烈的争夺，这将会吸引大量的资金入场。我们可以预期，一旦价格突破7300-7400这个区间，将会迎来一轮空头止损盘，以及多头加仓盘。而在这个过程中，豆油的资金关注度会越来越高，尽管趋势可能会因为国际市场复杂的影响而以震荡形势出现，但是终极方向没有变化，这与我们前两个月的操作建议是吻合的。</w:t>
      </w:r>
    </w:p>
    <w:p>
      <w:pPr>
        <w:pStyle w:val="3"/>
      </w:pPr>
      <w:r>
        <w:rPr>
          <w:rFonts w:hint="eastAsia"/>
        </w:rPr>
        <w:t>因此结合基本面的分析以及资金格局的变化，我们对于趋势交易者的操作建议是，保留6900一线的多单作为基础仓单不动，在6900-7300区间内逢低吸纳的多单可以在7300-7400区间适当止盈，等待价格突破并站稳后加仓多单，目标7800-8000一带。</w:t>
      </w:r>
    </w:p>
    <w:p>
      <w:pPr>
        <w:pStyle w:val="3"/>
      </w:pPr>
      <w:r>
        <w:rPr>
          <w:rFonts w:hint="eastAsia"/>
        </w:rPr>
        <w:t>前期无仓单着，等待价格突破7300-7400区间后入场多单，交易方式同上。</w:t>
      </w:r>
    </w:p>
    <w:p>
      <w:pPr>
        <w:pStyle w:val="3"/>
      </w:pPr>
      <w:r>
        <w:rPr>
          <w:rFonts w:hint="eastAsia"/>
        </w:rPr>
        <w:t>空头保值仓单的建议与10月份月报中一样，建议离场。下游企业可以进行买入保值。</w:t>
      </w:r>
    </w:p>
    <w:p>
      <w:pPr>
        <w:pStyle w:val="3"/>
      </w:pPr>
    </w:p>
    <w:p>
      <w:pPr>
        <w:pStyle w:val="3"/>
      </w:pPr>
      <w:r>
        <w:rPr>
          <w:rFonts w:hint="eastAsia"/>
        </w:rPr>
        <w:t>油粕比变动以及操作方式</w:t>
      </w:r>
    </w:p>
    <w:p>
      <w:pPr>
        <w:pStyle w:val="3"/>
      </w:pPr>
      <w:r>
        <w:rPr>
          <w:rFonts w:hint="eastAsia"/>
        </w:rPr>
        <w:t>我们在10月份月报中已经详细分析预测过油粕比的变化趋势，到本期月报仍旧维持观点不变，但是在11月份需要谨慎的是，因为交易所的交割制度规定，豆粕仓单必须在11月底强制注销，这个规则有着一定的利多作用，因此这个时间节点需要投资者进行规避。而12月底则有豆油仓单强制注销的规定，利多豆油价格，是符合我们油粕比回升的趋势的。</w:t>
      </w:r>
    </w:p>
    <w:p>
      <w:pPr>
        <w:pStyle w:val="3"/>
      </w:pPr>
      <w:r>
        <w:rPr>
          <w:rFonts w:hint="eastAsia"/>
        </w:rPr>
        <w:t>因此我们此前建议的油粕比回升套利操作可以继续进行，但是到11月下旬可适当止盈部分，等待比值回落后12月初再度介入，可长期持有。</w:t>
      </w:r>
    </w:p>
    <w:p>
      <w:pPr>
        <w:pStyle w:val="3"/>
      </w:pPr>
    </w:p>
    <w:p>
      <w:pPr>
        <w:pStyle w:val="3"/>
      </w:pPr>
      <w:r>
        <w:rPr>
          <w:rFonts w:ascii="宋体" w:hAnsi="宋体" w:eastAsia="宋体" w:cs="宋体"/>
          <w:color w:val="auto"/>
          <w:kern w:val="2"/>
          <w:sz w:val="21"/>
          <w:szCs w:val="20"/>
          <w:lang w:val="en-US" w:eastAsia="zh-CN" w:bidi="ar-SA"/>
        </w:rPr>
        <w:pict>
          <v:group id="组合 1028" o:spid="_x0000_s1029" style="position:absolute;left:0;margin-left:13.25pt;margin-top:3.75pt;height:187.2pt;width:490.15pt;rotation:0f;z-index:251659264;" coordorigin="1854,11090" coordsize="9720,3744">
            <o:lock v:ext="edit" position="f" selection="f" grouping="f" rotation="f" cropping="f" text="f" aspectratio="f"/>
            <v:shape id="_x0000_s1924" o:spid="_x0000_s1030"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jc w:val="center"/>
                      <w:rPr>
                        <w:sz w:val="18"/>
                        <w:szCs w:val="18"/>
                      </w:rPr>
                    </w:pPr>
                    <w:r>
                      <w:rPr>
                        <w:rFonts w:hint="eastAsia"/>
                        <w:sz w:val="18"/>
                        <w:szCs w:val="18"/>
                      </w:rPr>
                      <w:t>图18 港口豆油理论供应量（单位：万吨）</w:t>
                    </w:r>
                  </w:p>
                  <w:p>
                    <w:pPr>
                      <w:jc w:val="center"/>
                    </w:pPr>
                    <w:r>
                      <w:rPr>
                        <w:rFonts w:ascii="宋体" w:hAnsi="宋体" w:eastAsia="宋体" w:cs="宋体"/>
                        <w:kern w:val="2"/>
                        <w:sz w:val="21"/>
                        <w:szCs w:val="24"/>
                        <w:lang w:val="en-US" w:eastAsia="zh-CN" w:bidi="ar-SA"/>
                      </w:rPr>
                      <w:pict>
                        <v:shape id="图片框 1030" o:spid="_x0000_s1032" type="#_x0000_t75" style="height:162.75pt;width:244.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txbxContent>
              </v:textbox>
            </v:shape>
            <v:shape id="_x0000_s1925" o:spid="_x0000_s1031"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图17 一豆成交量（单位：吨）</w:t>
                    </w:r>
                  </w:p>
                  <w:p>
                    <w:pPr>
                      <w:jc w:val="center"/>
                    </w:pPr>
                    <w:r>
                      <w:rPr>
                        <w:rFonts w:ascii="宋体" w:hAnsi="宋体" w:eastAsia="宋体" w:cs="宋体"/>
                        <w:kern w:val="2"/>
                        <w:sz w:val="21"/>
                        <w:szCs w:val="24"/>
                        <w:lang w:val="en-US" w:eastAsia="zh-CN" w:bidi="ar-SA"/>
                      </w:rPr>
                      <w:pict>
                        <v:shape id="图片框 1032" o:spid="_x0000_s1033" type="#_x0000_t75" style="height:165.55pt;width:239.2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txbxContent>
              </v:textbox>
            </v:shape>
          </v:group>
        </w:pic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ascii="宋体" w:hAnsi="宋体"/>
          <w:szCs w:val="21"/>
        </w:rPr>
      </w:pPr>
      <w:r>
        <w:rPr>
          <w:rFonts w:ascii="宋体" w:hAnsi="宋体" w:eastAsia="宋体" w:cs="宋体"/>
          <w:color w:val="auto"/>
          <w:kern w:val="2"/>
          <w:sz w:val="21"/>
          <w:szCs w:val="20"/>
          <w:lang w:val="en-US" w:eastAsia="zh-CN" w:bidi="ar-SA"/>
        </w:rPr>
        <w:pict>
          <v:group id="组合 1033" o:spid="_x0000_s1034" style="position:absolute;left:0;margin-left:13.25pt;margin-top:11.55pt;height:187.2pt;width:490.15pt;rotation:0f;z-index:251661312;" coordorigin="1854,11090" coordsize="9720,3744">
            <o:lock v:ext="edit" position="f" selection="f" grouping="f" rotation="f" cropping="f" text="f" aspectratio="f"/>
            <v:shape id="_x0000_s1788" o:spid="_x0000_s1035"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图20 国内油厂开机率</w:t>
                    </w:r>
                  </w:p>
                  <w:p>
                    <w:pPr>
                      <w:jc w:val="center"/>
                    </w:pPr>
                    <w:r>
                      <w:rPr>
                        <w:rFonts w:ascii="宋体" w:hAnsi="宋体" w:eastAsia="宋体" w:cs="宋体"/>
                        <w:kern w:val="2"/>
                        <w:sz w:val="21"/>
                        <w:szCs w:val="24"/>
                        <w:lang w:val="en-US" w:eastAsia="zh-CN" w:bidi="ar-SA"/>
                      </w:rPr>
                      <w:pict>
                        <v:shape id="图片框 1035" o:spid="_x0000_s1037" type="#_x0000_t75" style="height:166.5pt;width:244.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txbxContent>
              </v:textbox>
            </v:shape>
            <v:shape id="_x0000_s1789" o:spid="_x0000_s1036"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图19 2013年大豆进口以及豆油理论供应量（单位：万吨）</w:t>
                    </w:r>
                  </w:p>
                  <w:p>
                    <w:pPr>
                      <w:jc w:val="center"/>
                    </w:pPr>
                    <w:r>
                      <w:rPr>
                        <w:rFonts w:ascii="宋体" w:hAnsi="宋体" w:eastAsia="宋体" w:cs="宋体"/>
                        <w:kern w:val="2"/>
                        <w:sz w:val="21"/>
                        <w:szCs w:val="24"/>
                        <w:lang w:val="en-US" w:eastAsia="zh-CN" w:bidi="ar-SA"/>
                      </w:rPr>
                      <w:pict>
                        <v:shape id="图片框 1037" o:spid="_x0000_s1038" type="#_x0000_t75" style="height:162pt;width:244.4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txbxContent>
              </v:textbox>
            </v:shape>
          </v:group>
        </w:pict>
      </w:r>
    </w:p>
    <w:p>
      <w:pPr>
        <w:pStyle w:val="3"/>
      </w:pPr>
    </w:p>
    <w:p>
      <w:pPr>
        <w:pStyle w:val="3"/>
      </w:pPr>
    </w:p>
    <w:p>
      <w:pPr>
        <w:pStyle w:val="3"/>
      </w:pPr>
    </w:p>
    <w:p>
      <w:pPr>
        <w:pStyle w:val="3"/>
      </w:pPr>
      <w:r>
        <w:rPr>
          <w:rFonts w:hint="eastAsia"/>
        </w:rPr>
        <w:t>综合上述分析，我们认为1401合约的豆油成本在10月份油粕比保持稳定的情况下，现货刚性成本在6900一带，期货成本在6700一带。</w:t>
      </w:r>
    </w:p>
    <w:p>
      <w:pPr>
        <w:pStyle w:val="3"/>
      </w:pPr>
    </w:p>
    <w:p>
      <w:pPr>
        <w:pStyle w:val="3"/>
      </w:pPr>
    </w:p>
    <w:p>
      <w:pPr>
        <w:pStyle w:val="3"/>
      </w:pPr>
    </w:p>
    <w:p>
      <w:pPr>
        <w:pStyle w:val="3"/>
      </w:pPr>
    </w:p>
    <w:p>
      <w:pPr>
        <w:pStyle w:val="3"/>
      </w:pPr>
    </w:p>
    <w:p>
      <w:pPr>
        <w:pStyle w:val="3"/>
      </w:pPr>
    </w:p>
    <w:p>
      <w:pPr>
        <w:pStyle w:val="3"/>
      </w:pPr>
    </w:p>
    <w:p>
      <w:pPr>
        <w:pStyle w:val="3"/>
      </w:pPr>
    </w:p>
    <w:p>
      <w:pPr>
        <w:pStyle w:val="3"/>
      </w:pPr>
      <w:r>
        <w:rPr>
          <w:rFonts w:ascii="宋体" w:hAnsi="宋体" w:eastAsia="宋体" w:cs="宋体"/>
          <w:color w:val="auto"/>
          <w:kern w:val="2"/>
          <w:sz w:val="21"/>
          <w:szCs w:val="20"/>
          <w:lang w:val="en-US" w:eastAsia="zh-CN" w:bidi="ar-SA"/>
        </w:rPr>
        <w:pict>
          <v:group id="组合 1038" o:spid="_x0000_s1039" style="position:absolute;left:0;margin-left:6.5pt;margin-top:8.7pt;height:187.2pt;width:498.75pt;rotation:0f;z-index:251660288;" coordorigin="1854,11090" coordsize="9720,3744">
            <o:lock v:ext="edit" position="f" selection="f" grouping="f" rotation="f" cropping="f" text="f" aspectratio="f"/>
            <v:shape id="_x0000_s1776" o:spid="_x0000_s1040"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图22 DCE豆油1405合约</w:t>
                    </w:r>
                  </w:p>
                  <w:p>
                    <w:pPr>
                      <w:jc w:val="center"/>
                      <w:rPr>
                        <w:b/>
                      </w:rPr>
                    </w:pPr>
                    <w:r>
                      <w:rPr>
                        <w:rFonts w:ascii="宋体" w:hAnsi="宋体" w:eastAsia="宋体" w:cs="宋体"/>
                        <w:b/>
                        <w:kern w:val="2"/>
                        <w:sz w:val="21"/>
                        <w:szCs w:val="24"/>
                        <w:lang w:val="en-US" w:eastAsia="zh-CN" w:bidi="ar-SA"/>
                      </w:rPr>
                      <w:pict>
                        <v:shape id="图片框 1040" o:spid="_x0000_s1042" type="#_x0000_t75" style="height:170.25pt;width:248.8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txbxContent>
              </v:textbox>
            </v:shape>
            <v:shape id="_x0000_s1777" o:spid="_x0000_s1041"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图21 CBOT美豆01（红绿）与BMD棕油01（黑白）</w:t>
                    </w:r>
                  </w:p>
                  <w:p>
                    <w:pPr>
                      <w:jc w:val="center"/>
                    </w:pPr>
                    <w:r>
                      <w:rPr>
                        <w:rFonts w:ascii="宋体" w:hAnsi="宋体" w:eastAsia="宋体" w:cs="宋体"/>
                        <w:kern w:val="2"/>
                        <w:sz w:val="21"/>
                        <w:szCs w:val="24"/>
                        <w:lang w:val="en-US" w:eastAsia="zh-CN" w:bidi="ar-SA"/>
                      </w:rPr>
                      <w:pict>
                        <v:shape id="图片框 1042" o:spid="_x0000_s1043" type="#_x0000_t75" style="height:157.1pt;width:248.9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txbxContent>
              </v:textbox>
            </v:shape>
          </v:group>
        </w:pic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Bdr>
          <w:top w:val="single" w:color="auto" w:sz="4" w:space="1"/>
          <w:left w:val="single" w:color="auto" w:sz="24" w:space="4"/>
          <w:bottom w:val="single" w:color="auto" w:sz="4" w:space="1"/>
        </w:pBdr>
        <w:shd w:val="clear" w:color="auto" w:fill="C6D9F1"/>
        <w:spacing w:before="480" w:after="240" w:line="360" w:lineRule="auto"/>
        <w:ind w:left="2100" w:leftChars="1000"/>
        <w:jc w:val="left"/>
        <w:outlineLvl w:val="0"/>
        <w:rPr>
          <w:b/>
          <w:kern w:val="44"/>
          <w:sz w:val="24"/>
          <w:szCs w:val="44"/>
        </w:rPr>
      </w:pPr>
      <w:r>
        <w:rPr>
          <w:rFonts w:hint="eastAsia"/>
          <w:b/>
          <w:kern w:val="44"/>
          <w:sz w:val="24"/>
          <w:szCs w:val="44"/>
        </w:rPr>
        <w:t>棕榈油：国际市场强劲，有望继续拉升</w:t>
      </w:r>
    </w:p>
    <w:p>
      <w:pPr>
        <w:spacing w:line="276" w:lineRule="auto"/>
        <w:ind w:left="1890" w:leftChars="900" w:firstLine="422" w:firstLineChars="200"/>
        <w:rPr>
          <w:b/>
          <w:szCs w:val="20"/>
        </w:rPr>
      </w:pPr>
      <w:r>
        <w:rPr>
          <w:rFonts w:hint="eastAsia"/>
          <w:b/>
          <w:szCs w:val="20"/>
        </w:rPr>
        <w:t>国际市场迎来逆转，利好频出支撑价格继续走高</w:t>
      </w:r>
    </w:p>
    <w:p>
      <w:pPr>
        <w:spacing w:line="276" w:lineRule="auto"/>
        <w:ind w:left="1890" w:leftChars="900" w:firstLine="420" w:firstLineChars="200"/>
        <w:rPr>
          <w:szCs w:val="20"/>
        </w:rPr>
      </w:pPr>
      <w:r>
        <w:rPr>
          <w:rFonts w:hint="eastAsia"/>
          <w:szCs w:val="20"/>
        </w:rPr>
        <w:t>马来西亚棕榈油在10月份一度因为市场对于产量将会大幅增加，而导致库存继续升高的悲观预期而令BMD承压下跌，价格一度跌破2300令吉，对于11月供需报告的偏空预期主导了整个市场情绪以及盘面。但到10月下旬，由于暴雨袭击，种植园现货商发布的信息显示10月份棕榈油的产量很有可能不升反降。利空转为利多，反转剧情上演，BMD棕榈油价格一路飙升，突破半年压力线，向年内最高点冲击。</w:t>
      </w:r>
    </w:p>
    <w:p>
      <w:pPr>
        <w:spacing w:line="276" w:lineRule="auto"/>
        <w:ind w:left="1890" w:leftChars="900" w:firstLine="420" w:firstLineChars="200"/>
        <w:rPr>
          <w:szCs w:val="20"/>
        </w:rPr>
      </w:pPr>
      <w:r>
        <w:rPr>
          <w:rFonts w:hint="eastAsia"/>
          <w:szCs w:val="20"/>
        </w:rPr>
        <w:t>我们认为这种因产量意外下降带来的利好刺激是短期的，从图形上来看，BMD也到了技术性调整的时期。而从中长期来看，棕榈油的价格仍旧有望继续拉升，这来源于更多的利好支撑。</w:t>
      </w:r>
    </w:p>
    <w:p>
      <w:pPr>
        <w:spacing w:line="276" w:lineRule="auto"/>
        <w:ind w:left="1890" w:leftChars="900" w:firstLine="420" w:firstLineChars="200"/>
        <w:rPr>
          <w:rFonts w:ascii="黑体" w:hAnsi="黑体" w:eastAsia="黑体"/>
          <w:szCs w:val="20"/>
        </w:rPr>
      </w:pPr>
      <w:r>
        <w:rPr>
          <w:rFonts w:hint="eastAsia" w:ascii="黑体" w:hAnsi="黑体" w:eastAsia="黑体"/>
          <w:szCs w:val="20"/>
        </w:rPr>
        <w:t>a．11月供需报告是产量下调炒作的到站点，同时需要技术性调整</w:t>
      </w:r>
    </w:p>
    <w:p>
      <w:pPr>
        <w:spacing w:line="276" w:lineRule="auto"/>
        <w:ind w:left="1890" w:leftChars="900" w:firstLine="420" w:firstLineChars="200"/>
        <w:rPr>
          <w:szCs w:val="20"/>
        </w:rPr>
      </w:pPr>
      <w:r>
        <w:rPr>
          <w:rFonts w:hint="eastAsia"/>
          <w:szCs w:val="20"/>
        </w:rPr>
        <w:t>从上文可以看到，对于11月供需报告的利空预期转变为利多预期，是刺激BMD棕榈油价格上行的主要因素，那么到11月10日的月度供需报告出炉，利好兑现，短期主要炒作点到站后，市场将会迎来短暂的炒作点真空期。</w:t>
      </w:r>
    </w:p>
    <w:p>
      <w:pPr>
        <w:spacing w:line="276" w:lineRule="auto"/>
        <w:ind w:left="1890" w:leftChars="900" w:firstLine="420" w:firstLineChars="200"/>
        <w:rPr>
          <w:szCs w:val="20"/>
        </w:rPr>
      </w:pPr>
      <w:r>
        <w:rPr>
          <w:rFonts w:hint="eastAsia"/>
          <w:szCs w:val="20"/>
        </w:rPr>
        <w:t>而同时，我们从BMD棕榈油主力01合约走势图形可以看到，价格已经突破半年来的压力带2400-2500区间，向年内最高区间2600-2700一带挺近。我们知道，越是长期的技术性点位，其压力就更大。在价格从半年线向上拉升的过程中，BMD01合约并未进行有效的调整，也可以理解为在向上拉升的过程中，多头资金并没有足够的机会来入场。</w:t>
      </w:r>
    </w:p>
    <w:p>
      <w:pPr>
        <w:spacing w:line="276" w:lineRule="auto"/>
        <w:ind w:left="1890" w:leftChars="900" w:firstLine="420" w:firstLineChars="200"/>
        <w:rPr>
          <w:szCs w:val="20"/>
        </w:rPr>
      </w:pPr>
      <w:r>
        <w:rPr>
          <w:rFonts w:hint="eastAsia"/>
          <w:szCs w:val="20"/>
        </w:rPr>
        <w:t>因此，我们认为，结合基本面炒作周期以及技术图形来看，BMD01合约价格在2600-2700区间存在技术性调整需求。</w:t>
      </w:r>
    </w:p>
    <w:p>
      <w:pPr>
        <w:spacing w:line="276" w:lineRule="auto"/>
        <w:ind w:left="1890" w:leftChars="900" w:firstLine="420" w:firstLineChars="200"/>
        <w:rPr>
          <w:rFonts w:ascii="黑体" w:hAnsi="黑体" w:eastAsia="黑体"/>
          <w:szCs w:val="20"/>
        </w:rPr>
      </w:pPr>
      <w:r>
        <w:rPr>
          <w:rFonts w:hint="eastAsia" w:ascii="黑体" w:hAnsi="黑体" w:eastAsia="黑体"/>
          <w:szCs w:val="20"/>
        </w:rPr>
        <w:t>b．中期供需结构利好，价格调整后或将继续上行</w:t>
      </w:r>
    </w:p>
    <w:p>
      <w:pPr>
        <w:spacing w:line="276" w:lineRule="auto"/>
        <w:ind w:left="1890" w:leftChars="900" w:firstLine="420" w:firstLineChars="200"/>
        <w:rPr>
          <w:szCs w:val="20"/>
        </w:rPr>
      </w:pPr>
      <w:r>
        <w:rPr>
          <w:rFonts w:hint="eastAsia"/>
          <w:szCs w:val="20"/>
        </w:rPr>
        <w:t>尽管我们认为BMD价格会进行调整，但是其中期供需结构是利好价格的。主要来源于供应国产量下滑、政策支持以及进口国的需求旺盛。</w:t>
      </w:r>
    </w:p>
    <w:p>
      <w:pPr>
        <w:spacing w:line="276" w:lineRule="auto"/>
        <w:ind w:left="1890" w:leftChars="900" w:firstLine="420" w:firstLineChars="200"/>
        <w:rPr>
          <w:szCs w:val="20"/>
        </w:rPr>
      </w:pPr>
      <w:r>
        <w:rPr>
          <w:rFonts w:hint="eastAsia"/>
          <w:szCs w:val="20"/>
        </w:rPr>
        <w:t>从11月份开始，棕榈油主产区马来西亚以及印尼的产量就将结束高峰期，进入低产期，实际上马来以及印尼进入雨季后，不见棕榈果单产会下滑，降雨还会令油棕果的含油率下降，最终导致棕榈油产量的减少。</w:t>
      </w:r>
    </w:p>
    <w:p>
      <w:pPr>
        <w:spacing w:line="276" w:lineRule="auto"/>
        <w:ind w:left="1890" w:leftChars="900" w:firstLine="420" w:firstLineChars="200"/>
        <w:rPr>
          <w:szCs w:val="20"/>
        </w:rPr>
      </w:pPr>
      <w:r>
        <w:rPr>
          <w:rFonts w:hint="eastAsia"/>
          <w:szCs w:val="20"/>
        </w:rPr>
        <w:t>此外，印尼政府受国际组织压力影响，最终制定了一项条例来保护日益减少的森林，该法规定，新的棕榈油企业的棕榈油种植面积将限制在10万公顷。尽管条例限制对象不包括国有企业等，但是对于印尼此前要在2020年前将棕榈油产量提高到4000万吨的目标。政策利好将会在较长时间内有缓慢而平稳的支撑作用。</w:t>
      </w:r>
    </w:p>
    <w:p>
      <w:pPr>
        <w:spacing w:line="276" w:lineRule="auto"/>
        <w:ind w:left="1890" w:leftChars="900" w:firstLine="420" w:firstLineChars="200"/>
        <w:rPr>
          <w:szCs w:val="20"/>
        </w:rPr>
      </w:pPr>
      <w:r>
        <w:rPr>
          <w:rFonts w:hint="eastAsia"/>
          <w:szCs w:val="20"/>
        </w:rPr>
        <w:t>除了产量下降以外，出口需求在未来两个月可能会继续保持旺盛。</w:t>
      </w:r>
    </w:p>
    <w:p>
      <w:pPr>
        <w:spacing w:line="276" w:lineRule="auto"/>
        <w:ind w:left="1890" w:leftChars="900" w:firstLine="420" w:firstLineChars="200"/>
        <w:rPr>
          <w:szCs w:val="20"/>
        </w:rPr>
      </w:pPr>
      <w:r>
        <w:rPr>
          <w:rFonts w:hint="eastAsia"/>
          <w:szCs w:val="20"/>
        </w:rPr>
        <w:t>首先其主要需求国，中国将会迎来春节前的备货旺季，尽管冬季棕榈油的掺混替代作用被降至最低，但是节日的煎炸用油需求会被放大，能在一定程度上提振中国市场需求。而另一大需求大国印度尽管将各类棕榈油的进口指标价格上调（</w:t>
      </w:r>
      <w:r>
        <w:rPr>
          <w:rFonts w:ascii="Arial" w:hAnsi="Arial" w:cs="Arial"/>
          <w:color w:val="000000"/>
          <w:sz w:val="23"/>
          <w:szCs w:val="23"/>
        </w:rPr>
        <w:t>指标毛棕榈油进口价格从每吨809美元上调至每吨811美元。</w:t>
      </w:r>
      <w:r>
        <w:rPr>
          <w:rFonts w:ascii="Arial" w:hAnsi="Arial" w:eastAsia="宋体" w:cs="Arial"/>
          <w:color w:val="000000"/>
          <w:kern w:val="0"/>
          <w:sz w:val="23"/>
          <w:szCs w:val="23"/>
        </w:rPr>
        <w:t>指标24度棕榈油价格由每吨886美元下调至每吨869美元</w:t>
      </w:r>
      <w:r>
        <w:rPr>
          <w:rFonts w:hint="eastAsia"/>
          <w:szCs w:val="20"/>
        </w:rPr>
        <w:t>），不利于棕榈油对该国的出口，但是印度仍旧处于节日密集期，对棕榈油的需求仍旧会保持在一定水准。</w:t>
      </w:r>
    </w:p>
    <w:p>
      <w:pPr>
        <w:spacing w:line="276" w:lineRule="auto"/>
        <w:ind w:left="1890" w:leftChars="900" w:firstLine="420" w:firstLineChars="200"/>
        <w:rPr>
          <w:szCs w:val="20"/>
        </w:rPr>
      </w:pPr>
      <w:r>
        <w:rPr>
          <w:rFonts w:hint="eastAsia"/>
          <w:szCs w:val="20"/>
        </w:rPr>
        <w:t>最重要的是欧盟，此前欧盟一直限制生物柴油的进口，对阿根廷以及印尼的生物柴油实施临时关税。而到11月份，欧盟将对这两个国家实施反倾销关税。这一举措将会导致欧盟对棕榈油和菜籽油的进口需求增长，因为棕油和菜油是生产生物燃料的主要原料。</w:t>
      </w:r>
    </w:p>
    <w:p>
      <w:pPr>
        <w:spacing w:line="276" w:lineRule="auto"/>
        <w:ind w:left="1890" w:leftChars="900" w:firstLine="420" w:firstLineChars="200"/>
        <w:rPr>
          <w:szCs w:val="20"/>
        </w:rPr>
      </w:pPr>
      <w:r>
        <w:rPr>
          <w:rFonts w:hint="eastAsia"/>
          <w:szCs w:val="20"/>
        </w:rPr>
        <w:t>而且从历史规律来看，10月份以及11月份也是棕榈油出口水平较高的两个月份。</w:t>
      </w:r>
    </w:p>
    <w:p>
      <w:pPr>
        <w:spacing w:line="276" w:lineRule="auto"/>
        <w:ind w:left="1890" w:leftChars="900" w:firstLine="420" w:firstLineChars="200"/>
        <w:rPr>
          <w:szCs w:val="20"/>
        </w:rPr>
      </w:pPr>
      <w:r>
        <w:rPr>
          <w:rFonts w:hint="eastAsia"/>
          <w:szCs w:val="20"/>
        </w:rPr>
        <w:t>因此，我们认为棕榈油的中期结构是比较稳定利好的，BMD价格在调整后仍旧会向上运行，仅从BMD的技术图形来看，01合约也已经完成了头肩底的形态，预计目标将会达到2700令吉以上。</w:t>
      </w:r>
    </w:p>
    <w:p>
      <w:pPr>
        <w:spacing w:line="276" w:lineRule="auto"/>
        <w:ind w:left="1890" w:leftChars="900" w:firstLine="420" w:firstLineChars="200"/>
        <w:rPr>
          <w:szCs w:val="20"/>
        </w:rPr>
      </w:pPr>
    </w:p>
    <w:p>
      <w:pPr>
        <w:spacing w:line="276" w:lineRule="auto"/>
        <w:ind w:left="1890" w:leftChars="900" w:firstLine="422" w:firstLineChars="200"/>
        <w:rPr>
          <w:b/>
          <w:szCs w:val="20"/>
        </w:rPr>
      </w:pPr>
      <w:r>
        <w:rPr>
          <w:rFonts w:hint="eastAsia"/>
          <w:b/>
          <w:szCs w:val="20"/>
        </w:rPr>
        <w:t>国内市场略弱，基差继续下滑</w:t>
      </w:r>
    </w:p>
    <w:p>
      <w:pPr>
        <w:spacing w:line="276" w:lineRule="auto"/>
        <w:ind w:left="1890" w:leftChars="900" w:firstLine="420" w:firstLineChars="200"/>
        <w:rPr>
          <w:szCs w:val="20"/>
        </w:rPr>
      </w:pPr>
      <w:r>
        <w:rPr>
          <w:rFonts w:hint="eastAsia"/>
          <w:szCs w:val="20"/>
        </w:rPr>
        <w:t>与国际市场愈发向好的格局相比,国内市场就稍显疲软。</w:t>
      </w:r>
    </w:p>
    <w:p>
      <w:pPr>
        <w:spacing w:line="276" w:lineRule="auto"/>
        <w:ind w:left="1890" w:leftChars="900" w:firstLine="420" w:firstLineChars="200"/>
        <w:rPr>
          <w:szCs w:val="20"/>
        </w:rPr>
      </w:pPr>
      <w:r>
        <w:rPr>
          <w:rFonts w:hint="eastAsia"/>
          <w:szCs w:val="20"/>
        </w:rPr>
        <w:t>目前国内棕榈油的港口库存约在100-110万吨之间，预计10月份进口量约在52-55万吨之间，而11月份进口量会继续增加至64万吨。可以看到的是在未来一段时间与国际市场产量逐渐下滑不同的是，国内棕榈油的供应量是呈现上升趋势的。</w:t>
      </w:r>
    </w:p>
    <w:p>
      <w:pPr>
        <w:spacing w:line="276" w:lineRule="auto"/>
        <w:ind w:left="1890" w:leftChars="900" w:firstLine="420" w:firstLineChars="200"/>
        <w:rPr>
          <w:szCs w:val="20"/>
        </w:rPr>
      </w:pPr>
      <w:r>
        <w:rPr>
          <w:rFonts w:hint="eastAsia"/>
          <w:szCs w:val="20"/>
        </w:rPr>
        <w:t>其次，消费方面来看，尽管存在春节消费旺季对煎炸用油需求量的增加，但是不可否认的是棕榈油的替代消费会在冬季降至最低点，一增一减相互抵消，并不能令棕榈油在11月爆发出强大的需求，我们认为其需求增幅较小，预计会有55万吨左右的需求。</w:t>
      </w:r>
    </w:p>
    <w:p>
      <w:pPr>
        <w:spacing w:line="276" w:lineRule="auto"/>
        <w:ind w:left="1890" w:leftChars="900" w:firstLine="420" w:firstLineChars="200"/>
        <w:rPr>
          <w:szCs w:val="20"/>
        </w:rPr>
      </w:pPr>
      <w:r>
        <w:rPr>
          <w:rFonts w:hint="eastAsia"/>
          <w:szCs w:val="20"/>
        </w:rPr>
        <w:t>那么在11月进口量为64万吨的基础上，预计到期月末的港口库存会有所攀升，甚至高于110万吨。</w:t>
      </w:r>
    </w:p>
    <w:p>
      <w:pPr>
        <w:spacing w:line="276" w:lineRule="auto"/>
        <w:ind w:left="1890" w:leftChars="900" w:firstLine="420" w:firstLineChars="200"/>
        <w:rPr>
          <w:szCs w:val="20"/>
        </w:rPr>
      </w:pPr>
      <w:r>
        <w:rPr>
          <w:rFonts w:hint="eastAsia"/>
          <w:szCs w:val="20"/>
        </w:rPr>
        <w:t>此外需要关注的是内盘期现价格结构。</w:t>
      </w:r>
    </w:p>
    <w:p>
      <w:pPr>
        <w:spacing w:line="276" w:lineRule="auto"/>
        <w:ind w:left="1890" w:leftChars="900" w:firstLine="420" w:firstLineChars="200"/>
        <w:rPr>
          <w:szCs w:val="20"/>
        </w:rPr>
      </w:pPr>
      <w:r>
        <w:rPr>
          <w:rFonts w:hint="eastAsia"/>
          <w:szCs w:val="20"/>
        </w:rPr>
        <w:t>我们从价差图中可以看到，前期一路攀升的基差在近一个多月时间里再度下滑。我们在前期月报中曾经说过，套保盘的释放会令期货价格快速回升，再加上马盘爆发带动内盘期价，但是同步现货却在需求没有明显启动的拖累下略显滞后，最终导致近段时间来价差下滑，截止到10月底，与01合约基差为-158元/吨，与05合约基差为-4002元/吨，与09合约基差为-426元/吨。</w:t>
      </w:r>
    </w:p>
    <w:p>
      <w:pPr>
        <w:spacing w:line="276" w:lineRule="auto"/>
        <w:ind w:left="1890" w:leftChars="900" w:firstLine="420" w:firstLineChars="200"/>
        <w:rPr>
          <w:szCs w:val="20"/>
        </w:rPr>
      </w:pPr>
      <w:r>
        <w:rPr>
          <w:rFonts w:hint="eastAsia"/>
          <w:szCs w:val="20"/>
        </w:rPr>
        <w:t>尽管基差为负，但是我们认为并不会就此结束，因为在11月我们认为需求对现货市场的刺激并不会很强，且外强内弱格局下期盘总是领先现货走势的，预计基差将会继续下滑。而在此情况下，再加上我们前文分析中认为棕榈油在结束调整后仍将会继续上行，因此空头保值盘是不宜介入的。投资者可少量介入基差操作。</w:t>
      </w:r>
    </w:p>
    <w:p>
      <w:pPr>
        <w:spacing w:line="276" w:lineRule="auto"/>
        <w:ind w:left="1890" w:leftChars="900" w:firstLine="420" w:firstLineChars="200"/>
        <w:rPr>
          <w:szCs w:val="20"/>
        </w:rPr>
      </w:pPr>
    </w:p>
    <w:p>
      <w:pPr>
        <w:spacing w:line="276" w:lineRule="auto"/>
        <w:ind w:left="1890" w:leftChars="900" w:firstLine="422" w:firstLineChars="200"/>
        <w:rPr>
          <w:rFonts w:ascii="宋体" w:hAnsi="宋体"/>
          <w:b/>
          <w:szCs w:val="20"/>
        </w:rPr>
      </w:pPr>
      <w:r>
        <w:rPr>
          <w:rFonts w:hint="eastAsia" w:ascii="宋体" w:hAnsi="宋体"/>
          <w:b/>
          <w:szCs w:val="20"/>
        </w:rPr>
        <w:t>资金结构及技术图形</w:t>
      </w:r>
    </w:p>
    <w:p>
      <w:pPr>
        <w:spacing w:line="276" w:lineRule="auto"/>
        <w:ind w:left="1890" w:leftChars="900" w:firstLine="420" w:firstLineChars="200"/>
        <w:rPr>
          <w:szCs w:val="20"/>
        </w:rPr>
      </w:pPr>
      <w:r>
        <w:rPr>
          <w:rFonts w:hint="eastAsia"/>
          <w:szCs w:val="20"/>
        </w:rPr>
        <w:t>内盘棕榈油期货的资金结构较为简单，因为一直以来棕榈油尽管价格波动幅度较大，但是受制于现货情况，其期货交易量低于豆油，且资金结构相对分散。</w:t>
      </w:r>
    </w:p>
    <w:p>
      <w:pPr>
        <w:spacing w:line="276" w:lineRule="auto"/>
        <w:ind w:left="1890" w:leftChars="900" w:firstLine="420" w:firstLineChars="200"/>
        <w:rPr>
          <w:szCs w:val="20"/>
        </w:rPr>
      </w:pPr>
      <w:r>
        <w:rPr>
          <w:rFonts w:hint="eastAsia"/>
          <w:szCs w:val="20"/>
        </w:rPr>
        <w:t>我们曾经说过，在9月份的二次探底中多头有一定程度的资金集中现象，1401合约成本在5350-5500之间，而1405合约成本在5500-5700之间。这是我们认定的多头底仓成本，而在10月份一线成本在过去一个月时间里，二线成本出现在5900-6100区间。此后，尽管从资金结构上多头相对集中稳定，但是并没有形成再度入驻的主力持仓。</w:t>
      </w:r>
    </w:p>
    <w:p>
      <w:pPr>
        <w:spacing w:line="276" w:lineRule="auto"/>
        <w:ind w:left="1890" w:leftChars="900" w:firstLine="420" w:firstLineChars="200"/>
        <w:rPr>
          <w:szCs w:val="20"/>
        </w:rPr>
      </w:pPr>
      <w:r>
        <w:rPr>
          <w:rFonts w:hint="eastAsia"/>
          <w:szCs w:val="20"/>
        </w:rPr>
        <w:t>而从技术图形来看，棕榈油1405合约在下半年形成双底形态，颈线位于6050一线，目前技术形态已经突破颈线并完成支撑测试，价格继续向上。而根据技术图形来看，其目标位将会在6450-6550之间。</w:t>
      </w:r>
    </w:p>
    <w:p>
      <w:pPr>
        <w:spacing w:line="276" w:lineRule="auto"/>
        <w:ind w:left="1890" w:leftChars="900" w:firstLine="422" w:firstLineChars="200"/>
        <w:rPr>
          <w:szCs w:val="20"/>
        </w:rPr>
      </w:pPr>
      <w:r>
        <w:rPr>
          <w:rFonts w:ascii="宋体" w:hAnsi="宋体" w:eastAsia="宋体" w:cs="宋体"/>
          <w:b/>
          <w:kern w:val="2"/>
          <w:sz w:val="21"/>
          <w:szCs w:val="20"/>
          <w:lang w:val="en-US" w:eastAsia="zh-CN" w:bidi="ar-SA"/>
        </w:rPr>
        <w:pict>
          <v:group id="组合 1043" o:spid="_x0000_s1044" style="position:absolute;left:0;margin-left:33.9pt;margin-top:10.65pt;height:187.2pt;width:486pt;rotation:0f;z-index:251662336;" coordorigin="1854,11090" coordsize="9720,3744">
            <o:lock v:ext="edit" position="f" selection="f" grouping="f" rotation="f" cropping="f" text="f" aspectratio="f"/>
            <v:shape id="_x0000_s1782" o:spid="_x0000_s1045"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图24 BMD棕榈油01合约走势</w:t>
                    </w:r>
                  </w:p>
                  <w:p>
                    <w:pPr>
                      <w:jc w:val="center"/>
                    </w:pPr>
                    <w:r>
                      <w:rPr>
                        <w:rFonts w:ascii="宋体" w:hAnsi="宋体" w:eastAsia="宋体" w:cs="宋体"/>
                        <w:kern w:val="2"/>
                        <w:sz w:val="21"/>
                        <w:szCs w:val="24"/>
                        <w:lang w:val="en-US" w:eastAsia="zh-CN" w:bidi="ar-SA"/>
                      </w:rPr>
                      <w:pict>
                        <v:shape id="图片框 1045" o:spid="_x0000_s1047" type="#_x0000_t75" style="height:160.5pt;width:242.2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txbxContent>
              </v:textbox>
            </v:shape>
            <v:shape id="_x0000_s1783" o:spid="_x0000_s1046"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图23 马来棕油供需平衡（MPOB）（单位：万吨）</w:t>
                    </w:r>
                  </w:p>
                  <w:p>
                    <w:pPr>
                      <w:jc w:val="center"/>
                    </w:pPr>
                    <w:r>
                      <w:rPr>
                        <w:rFonts w:ascii="宋体" w:hAnsi="宋体" w:eastAsia="宋体" w:cs="宋体"/>
                        <w:kern w:val="2"/>
                        <w:sz w:val="21"/>
                        <w:szCs w:val="24"/>
                        <w:lang w:val="en-US" w:eastAsia="zh-CN" w:bidi="ar-SA"/>
                      </w:rPr>
                      <w:pict>
                        <v:shape id="图片框 1047" o:spid="_x0000_s1048" type="#_x0000_t75" style="height:162.7pt;width:237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txbxContent>
              </v:textbox>
            </v:shape>
          </v:group>
        </w:pict>
      </w: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r>
        <w:rPr>
          <w:rFonts w:ascii="宋体" w:hAnsi="宋体" w:eastAsia="宋体" w:cs="Times New Roman"/>
          <w:kern w:val="2"/>
          <w:sz w:val="21"/>
          <w:szCs w:val="24"/>
          <w:lang w:val="en-US" w:eastAsia="zh-CN" w:bidi="ar-SA"/>
        </w:rPr>
        <w:pict>
          <v:group id="组合 1048" o:spid="_x0000_s1049" style="position:absolute;left:0;margin-left:33.9pt;margin-top:0.5pt;height:187.2pt;width:486pt;rotation:0f;z-index:251663360;" coordorigin="1854,11090" coordsize="9720,3744">
            <o:lock v:ext="edit" position="f" selection="f" grouping="f" rotation="f" cropping="f" text="f" aspectratio="f"/>
            <v:shape id="_x0000_s1785" o:spid="_x0000_s1050"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图26 棕榈油港口库存（单位：万吨）</w:t>
                    </w:r>
                  </w:p>
                  <w:p>
                    <w:pPr>
                      <w:jc w:val="center"/>
                    </w:pPr>
                    <w:r>
                      <w:rPr>
                        <w:rFonts w:ascii="宋体" w:hAnsi="宋体" w:eastAsia="宋体" w:cs="宋体"/>
                        <w:kern w:val="2"/>
                        <w:sz w:val="21"/>
                        <w:szCs w:val="24"/>
                        <w:lang w:val="en-US" w:eastAsia="zh-CN" w:bidi="ar-SA"/>
                      </w:rPr>
                      <w:pict>
                        <v:shape id="图片框 1050" o:spid="_x0000_s1052" type="#_x0000_t75" style="height:166.5pt;width:238.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txbxContent>
              </v:textbox>
            </v:shape>
            <v:shape id="_x0000_s1786" o:spid="_x0000_s1051"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图25 棕榈油月度进口量（单位：万吨）</w:t>
                    </w:r>
                  </w:p>
                  <w:p>
                    <w:pPr>
                      <w:jc w:val="center"/>
                    </w:pPr>
                    <w:r>
                      <w:rPr>
                        <w:rFonts w:ascii="宋体" w:hAnsi="宋体" w:eastAsia="宋体" w:cs="宋体"/>
                        <w:kern w:val="2"/>
                        <w:sz w:val="21"/>
                        <w:szCs w:val="24"/>
                        <w:lang w:val="en-US" w:eastAsia="zh-CN" w:bidi="ar-SA"/>
                      </w:rPr>
                      <w:pict>
                        <v:shape id="图片框 1052" o:spid="_x0000_s1053" type="#_x0000_t75" style="height:169.4pt;width:242.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txbxContent>
              </v:textbox>
            </v:shape>
          </v:group>
        </w:pict>
      </w:r>
    </w:p>
    <w:p>
      <w:pPr>
        <w:spacing w:line="276" w:lineRule="auto"/>
        <w:ind w:left="1890" w:leftChars="900" w:firstLine="420" w:firstLineChars="200"/>
        <w:rPr>
          <w:szCs w:val="20"/>
        </w:rPr>
      </w:pPr>
    </w:p>
    <w:p>
      <w:pPr>
        <w:spacing w:line="276" w:lineRule="auto"/>
        <w:ind w:left="1890" w:leftChars="900" w:firstLine="422" w:firstLineChars="200"/>
        <w:rPr>
          <w:b/>
          <w:szCs w:val="20"/>
        </w:rPr>
      </w:pPr>
    </w:p>
    <w:p>
      <w:pPr>
        <w:spacing w:line="276" w:lineRule="auto"/>
        <w:ind w:left="1890" w:leftChars="900" w:firstLine="422" w:firstLineChars="200"/>
        <w:rPr>
          <w:b/>
          <w:szCs w:val="20"/>
        </w:rPr>
      </w:pPr>
    </w:p>
    <w:p>
      <w:pPr>
        <w:spacing w:line="276" w:lineRule="auto"/>
        <w:ind w:left="1890" w:leftChars="900" w:firstLine="422" w:firstLineChars="200"/>
        <w:rPr>
          <w:b/>
          <w:szCs w:val="20"/>
        </w:rPr>
      </w:pPr>
    </w:p>
    <w:p>
      <w:pPr>
        <w:spacing w:line="276" w:lineRule="auto"/>
        <w:ind w:left="1890" w:leftChars="900" w:firstLine="422" w:firstLineChars="200"/>
        <w:rPr>
          <w:b/>
          <w:szCs w:val="20"/>
        </w:rPr>
      </w:pPr>
    </w:p>
    <w:p>
      <w:pPr>
        <w:spacing w:line="276" w:lineRule="auto"/>
        <w:ind w:left="1890" w:leftChars="900" w:firstLine="422" w:firstLineChars="200"/>
        <w:rPr>
          <w:b/>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p>
    <w:p>
      <w:pPr>
        <w:spacing w:line="276" w:lineRule="auto"/>
        <w:ind w:left="1890" w:leftChars="900" w:firstLine="420" w:firstLineChars="200"/>
        <w:rPr>
          <w:szCs w:val="20"/>
        </w:rPr>
      </w:pPr>
      <w:r>
        <w:rPr>
          <w:rFonts w:ascii="宋体" w:hAnsi="宋体" w:eastAsia="宋体" w:cs="Times New Roman"/>
          <w:kern w:val="2"/>
          <w:sz w:val="21"/>
          <w:szCs w:val="24"/>
          <w:lang w:val="en-US" w:eastAsia="zh-CN" w:bidi="ar-SA"/>
        </w:rPr>
        <w:pict>
          <v:group id="组合 1053" o:spid="_x0000_s1054" style="position:absolute;left:0;margin-left:26.4pt;margin-top:16.7pt;height:187.2pt;width:486pt;rotation:0f;z-index:251658240;" coordorigin="1854,11090" coordsize="9720,3744">
            <o:lock v:ext="edit" position="f" selection="f" grouping="f" rotation="f" cropping="f" text="f" aspectratio="f"/>
            <v:shape id="_x0000_s1773" o:spid="_x0000_s1055" type="#_x0000_t202" style="position:absolute;left:671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图28 棕榈油1405合约走势</w:t>
                    </w:r>
                  </w:p>
                  <w:p>
                    <w:pPr>
                      <w:jc w:val="center"/>
                    </w:pPr>
                    <w:r>
                      <w:rPr>
                        <w:rFonts w:ascii="宋体" w:hAnsi="宋体" w:eastAsia="宋体" w:cs="宋体"/>
                        <w:kern w:val="2"/>
                        <w:sz w:val="21"/>
                        <w:szCs w:val="24"/>
                        <w:lang w:val="en-US" w:eastAsia="zh-CN" w:bidi="ar-SA"/>
                      </w:rPr>
                      <w:pict>
                        <v:shape id="图片框 1055" o:spid="_x0000_s1057" type="#_x0000_t75" style="height:159.75pt;width:242.3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txbxContent>
              </v:textbox>
            </v:shape>
            <v:shape id="_x0000_s1774" o:spid="_x0000_s1056" type="#_x0000_t202" style="position:absolute;left:1854;top:11090;height:3744;width:4860;rotation:0f;" o:ole="f" fillcolor="#FFFFFF" filled="t" o:preferrelative="t" stroked="t" coordorigin="0,0" coordsize="21600,21600">
              <v:stroke color="#C0C0C0" color2="#FFFFFF" miterlimit="2" dashstyle="1 1" endcap="round"/>
              <v:imagedata gain="65536f" blacklevel="0f" gamma="0"/>
              <o:lock v:ext="edit" position="f" selection="f" grouping="f" rotation="f" cropping="f" text="f" aspectratio="f"/>
              <v:textbox inset="0.00pt,0.00pt,0.00pt,0.00pt">
                <w:txbxContent>
                  <w:p>
                    <w:pPr>
                      <w:pStyle w:val="22"/>
                    </w:pPr>
                    <w:r>
                      <w:rPr>
                        <w:rFonts w:hint="eastAsia"/>
                      </w:rPr>
                      <w:t>图27 棕榈油期现价差</w:t>
                    </w:r>
                  </w:p>
                  <w:p>
                    <w:pPr>
                      <w:jc w:val="center"/>
                    </w:pPr>
                    <w:r>
                      <w:rPr>
                        <w:rFonts w:ascii="宋体" w:hAnsi="宋体" w:eastAsia="宋体" w:cs="宋体"/>
                        <w:kern w:val="2"/>
                        <w:sz w:val="21"/>
                        <w:szCs w:val="24"/>
                        <w:lang w:val="en-US" w:eastAsia="zh-CN" w:bidi="ar-SA"/>
                      </w:rPr>
                      <w:pict>
                        <v:shape id="图片框 1057" o:spid="_x0000_s1058" type="#_x0000_t75" style="height:162.75pt;width:237.7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p>
                </w:txbxContent>
              </v:textbox>
            </v:shape>
          </v:group>
        </w:pict>
      </w:r>
    </w:p>
    <w:p>
      <w:pPr>
        <w:pStyle w:val="3"/>
      </w:pPr>
    </w:p>
    <w:p>
      <w:pPr>
        <w:pStyle w:val="3"/>
      </w:pPr>
    </w:p>
    <w:p>
      <w:pPr>
        <w:pStyle w:val="3"/>
      </w:pPr>
    </w:p>
    <w:p>
      <w:pPr>
        <w:spacing w:line="276" w:lineRule="auto"/>
        <w:ind w:left="1890" w:leftChars="900" w:firstLine="420" w:firstLineChars="200"/>
        <w:rPr>
          <w:szCs w:val="20"/>
        </w:rPr>
      </w:pPr>
    </w:p>
    <w:p>
      <w:pPr>
        <w:pStyle w:val="3"/>
      </w:pPr>
    </w:p>
    <w:p>
      <w:pPr>
        <w:pStyle w:val="3"/>
      </w:pPr>
    </w:p>
    <w:p>
      <w:pPr>
        <w:pStyle w:val="3"/>
      </w:pPr>
    </w:p>
    <w:p>
      <w:pPr>
        <w:pStyle w:val="3"/>
      </w:pPr>
    </w:p>
    <w:p>
      <w:pPr>
        <w:pStyle w:val="3"/>
      </w:pPr>
    </w:p>
    <w:p>
      <w:pPr>
        <w:pStyle w:val="3"/>
      </w:pPr>
    </w:p>
    <w:p>
      <w:pPr>
        <w:pStyle w:val="3"/>
      </w:pPr>
    </w:p>
    <w:p>
      <w:pPr>
        <w:pStyle w:val="3"/>
      </w:pPr>
      <w:r>
        <w:rPr>
          <w:rFonts w:hint="eastAsia"/>
        </w:rPr>
        <w:t>最后，综合上文分析，我们对DCE棕榈油定义为外强内弱结构下的跟随性上涨，而根据分析，马盘短线面临技术性回调需求，同时我们认为内盘在6100以上缺乏实质性支撑，因此预计内盘回调目标约在6100附近。而基于国际棕榈油中期供需结构向好，内盘也将会跟随，预计目标在6450区间。</w:t>
      </w:r>
    </w:p>
    <w:p>
      <w:pPr>
        <w:pStyle w:val="3"/>
      </w:pPr>
      <w:r>
        <w:rPr>
          <w:rFonts w:hint="eastAsia"/>
        </w:rPr>
        <w:t>操作上，多单留有底仓的作为基础仓单持有不动，短线等待价格回撤到6100附近加仓。无底仓者等待价格回撤到6100附近进场，止损6000，目标6450以上。</w:t>
      </w:r>
    </w:p>
    <w:p>
      <w:pPr>
        <w:pStyle w:val="3"/>
      </w:pPr>
      <w:r>
        <w:rPr>
          <w:rFonts w:hint="eastAsia"/>
        </w:rPr>
        <w:t>不建议空头保值盘继续持有，可等待价格回落后离场。</w:t>
      </w:r>
    </w:p>
    <w:sectPr>
      <w:headerReference r:id="rId6" w:type="first"/>
      <w:headerReference r:id="rId4" w:type="default"/>
      <w:footerReference r:id="rId7" w:type="default"/>
      <w:headerReference r:id="rId5" w:type="even"/>
      <w:footerReference r:id="rId8" w:type="even"/>
      <w:pgSz w:w="11906" w:h="16838"/>
      <w:pgMar w:top="720" w:right="720" w:bottom="720" w:left="720" w:header="851" w:footer="992" w:gutter="567"/>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A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right"/>
    </w:pPr>
    <w:r>
      <w:fldChar w:fldCharType="begin"/>
    </w:r>
    <w:r>
      <w:instrText xml:space="preserve"> PAGE   \* MERGEFORMAT </w:instrText>
    </w:r>
    <w:r>
      <w:fldChar w:fldCharType="separate"/>
    </w:r>
    <w:r>
      <w:rPr>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color="auto" w:sz="12" w:space="1"/>
      </w:pBdr>
      <w:ind w:right="-576"/>
    </w:pPr>
    <w:r>
      <w:rPr>
        <w:rFonts w:ascii="Cambria" w:hAnsi="Cambria" w:eastAsia="宋体" w:cs="黑体"/>
        <w:kern w:val="2"/>
        <w:sz w:val="28"/>
        <w:szCs w:val="28"/>
        <w:lang w:val="en-US" w:eastAsia="zh-CN" w:bidi="ar-SA"/>
      </w:rPr>
      <w:pict>
        <v:shape id="图片框 1026" o:spid="_x0000_s1025" type="#_x0000_t75" style="height:27pt;width:76.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t xml:space="preserve"> </w:t>
    </w:r>
  </w:p>
  <w:p>
    <w:pPr>
      <w:ind w:right="-576"/>
      <w:rPr>
        <w:rFonts w:ascii="Cambria" w:hAnsi="Cambria" w:eastAsia="宋体" w:cs="黑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color="auto" w:sz="12" w:space="1"/>
      </w:pBdr>
    </w:pPr>
    <w:r>
      <w:rPr>
        <w:rFonts w:ascii="宋体" w:hAnsi="宋体" w:eastAsia="宋体" w:cs="宋体"/>
        <w:kern w:val="2"/>
        <w:sz w:val="21"/>
        <w:szCs w:val="24"/>
        <w:lang w:val="en-US" w:eastAsia="zh-CN" w:bidi="ar-SA"/>
      </w:rPr>
      <w:pict>
        <v:shape id="图片框 1025" o:spid="_x0000_s1026" type="#_x0000_t75" style="height:27pt;width:76.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color="auto" w:sz="12" w:space="1"/>
      </w:pBdr>
    </w:pPr>
    <w:r>
      <w:rPr>
        <w:rFonts w:ascii="宋体" w:hAnsi="宋体" w:eastAsia="宋体" w:cs="宋体"/>
        <w:kern w:val="2"/>
        <w:sz w:val="21"/>
        <w:szCs w:val="24"/>
        <w:lang w:val="en-US" w:eastAsia="zh-CN" w:bidi="ar-SA"/>
      </w:rPr>
      <w:pict>
        <v:shape id="图片框 1027" o:spid="_x0000_s1027" type="#_x0000_t75" style="height:27pt;width:76.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1597593">
    <w:nsid w:val="38B83A19"/>
    <w:multiLevelType w:val="multilevel"/>
    <w:tmpl w:val="38B83A19"/>
    <w:lvl w:ilvl="0" w:tentative="1">
      <w:start w:val="1"/>
      <w:numFmt w:val="lowerLetter"/>
      <w:pStyle w:val="5"/>
      <w:lvlText w:val="%1."/>
      <w:lvlJc w:val="left"/>
      <w:pPr>
        <w:ind w:left="420" w:hanging="420"/>
      </w:pPr>
      <w:rPr>
        <w:rFonts w:hint="eastAsia"/>
      </w:rPr>
    </w:lvl>
    <w:lvl w:ilvl="1" w:tentative="1">
      <w:start w:val="1"/>
      <w:numFmt w:val="lowerLetter"/>
      <w:lvlText w:val="%2)"/>
      <w:lvlJc w:val="left"/>
      <w:pPr>
        <w:ind w:left="12180" w:hanging="420"/>
      </w:pPr>
    </w:lvl>
    <w:lvl w:ilvl="2" w:tentative="1">
      <w:start w:val="1"/>
      <w:numFmt w:val="lowerRoman"/>
      <w:lvlText w:val="%3."/>
      <w:lvlJc w:val="right"/>
      <w:pPr>
        <w:ind w:left="12600" w:hanging="420"/>
      </w:pPr>
    </w:lvl>
    <w:lvl w:ilvl="3" w:tentative="1">
      <w:start w:val="1"/>
      <w:numFmt w:val="decimal"/>
      <w:lvlText w:val="%4."/>
      <w:lvlJc w:val="left"/>
      <w:pPr>
        <w:ind w:left="13020" w:hanging="420"/>
      </w:pPr>
    </w:lvl>
    <w:lvl w:ilvl="4" w:tentative="1">
      <w:start w:val="1"/>
      <w:numFmt w:val="lowerLetter"/>
      <w:lvlText w:val="%5)"/>
      <w:lvlJc w:val="left"/>
      <w:pPr>
        <w:ind w:left="13440" w:hanging="420"/>
      </w:pPr>
    </w:lvl>
    <w:lvl w:ilvl="5" w:tentative="1">
      <w:start w:val="1"/>
      <w:numFmt w:val="lowerRoman"/>
      <w:lvlText w:val="%6."/>
      <w:lvlJc w:val="right"/>
      <w:pPr>
        <w:ind w:left="13860" w:hanging="420"/>
      </w:pPr>
    </w:lvl>
    <w:lvl w:ilvl="6" w:tentative="1">
      <w:start w:val="1"/>
      <w:numFmt w:val="decimal"/>
      <w:lvlText w:val="%7."/>
      <w:lvlJc w:val="left"/>
      <w:pPr>
        <w:ind w:left="14280" w:hanging="420"/>
      </w:pPr>
    </w:lvl>
    <w:lvl w:ilvl="7" w:tentative="1">
      <w:start w:val="1"/>
      <w:numFmt w:val="lowerLetter"/>
      <w:lvlText w:val="%8)"/>
      <w:lvlJc w:val="left"/>
      <w:pPr>
        <w:ind w:left="14700" w:hanging="420"/>
      </w:pPr>
    </w:lvl>
    <w:lvl w:ilvl="8" w:tentative="1">
      <w:start w:val="1"/>
      <w:numFmt w:val="lowerRoman"/>
      <w:lvlText w:val="%9."/>
      <w:lvlJc w:val="right"/>
      <w:pPr>
        <w:ind w:left="15120" w:hanging="420"/>
      </w:pPr>
    </w:lvl>
  </w:abstractNum>
  <w:abstractNum w:abstractNumId="496921379">
    <w:nsid w:val="1D9E6B23"/>
    <w:multiLevelType w:val="multilevel"/>
    <w:tmpl w:val="1D9E6B23"/>
    <w:lvl w:ilvl="0" w:tentative="1">
      <w:start w:val="1"/>
      <w:numFmt w:val="bullet"/>
      <w:pStyle w:val="23"/>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527985370">
    <w:nsid w:val="1F786ADA"/>
    <w:multiLevelType w:val="multilevel"/>
    <w:tmpl w:val="1F786ADA"/>
    <w:lvl w:ilvl="0" w:tentative="1">
      <w:start w:val="1"/>
      <w:numFmt w:val="decimal"/>
      <w:pStyle w:val="6"/>
      <w:lvlText w:val="(%1)"/>
      <w:lvlJc w:val="left"/>
      <w:pPr>
        <w:ind w:left="3360" w:hanging="420"/>
      </w:pPr>
      <w:rPr>
        <w:rFonts w:hint="eastAsia"/>
      </w:rPr>
    </w:lvl>
    <w:lvl w:ilvl="1" w:tentative="1">
      <w:start w:val="1"/>
      <w:numFmt w:val="lowerLetter"/>
      <w:lvlText w:val="%2)"/>
      <w:lvlJc w:val="left"/>
      <w:pPr>
        <w:ind w:left="3780" w:hanging="420"/>
      </w:pPr>
    </w:lvl>
    <w:lvl w:ilvl="2" w:tentative="1">
      <w:start w:val="1"/>
      <w:numFmt w:val="lowerRoman"/>
      <w:lvlText w:val="%3."/>
      <w:lvlJc w:val="right"/>
      <w:pPr>
        <w:ind w:left="4200" w:hanging="420"/>
      </w:pPr>
    </w:lvl>
    <w:lvl w:ilvl="3" w:tentative="1">
      <w:start w:val="1"/>
      <w:numFmt w:val="decimal"/>
      <w:lvlText w:val="%4."/>
      <w:lvlJc w:val="left"/>
      <w:pPr>
        <w:ind w:left="4620" w:hanging="420"/>
      </w:pPr>
    </w:lvl>
    <w:lvl w:ilvl="4" w:tentative="1">
      <w:start w:val="1"/>
      <w:numFmt w:val="lowerLetter"/>
      <w:lvlText w:val="%5)"/>
      <w:lvlJc w:val="left"/>
      <w:pPr>
        <w:ind w:left="5040" w:hanging="420"/>
      </w:pPr>
    </w:lvl>
    <w:lvl w:ilvl="5" w:tentative="1">
      <w:start w:val="1"/>
      <w:numFmt w:val="lowerRoman"/>
      <w:lvlText w:val="%6."/>
      <w:lvlJc w:val="right"/>
      <w:pPr>
        <w:ind w:left="5460" w:hanging="420"/>
      </w:pPr>
    </w:lvl>
    <w:lvl w:ilvl="6" w:tentative="1">
      <w:start w:val="1"/>
      <w:numFmt w:val="decimal"/>
      <w:lvlText w:val="%7."/>
      <w:lvlJc w:val="left"/>
      <w:pPr>
        <w:ind w:left="5880" w:hanging="420"/>
      </w:pPr>
    </w:lvl>
    <w:lvl w:ilvl="7" w:tentative="1">
      <w:start w:val="1"/>
      <w:numFmt w:val="lowerLetter"/>
      <w:lvlText w:val="%8)"/>
      <w:lvlJc w:val="left"/>
      <w:pPr>
        <w:ind w:left="6300" w:hanging="420"/>
      </w:pPr>
    </w:lvl>
    <w:lvl w:ilvl="8" w:tentative="1">
      <w:start w:val="1"/>
      <w:numFmt w:val="lowerRoman"/>
      <w:lvlText w:val="%9."/>
      <w:lvlJc w:val="right"/>
      <w:pPr>
        <w:ind w:left="6720" w:hanging="420"/>
      </w:pPr>
    </w:lvl>
  </w:abstractNum>
  <w:abstractNum w:abstractNumId="831261308">
    <w:nsid w:val="318C0A7C"/>
    <w:multiLevelType w:val="multilevel"/>
    <w:tmpl w:val="318C0A7C"/>
    <w:lvl w:ilvl="0" w:tentative="1">
      <w:start w:val="1"/>
      <w:numFmt w:val="decimal"/>
      <w:pStyle w:val="7"/>
      <w:lvlText w:val="%1）"/>
      <w:lvlJc w:val="left"/>
      <w:pPr>
        <w:ind w:left="1420" w:hanging="420"/>
      </w:pPr>
      <w:rPr>
        <w:rFonts w:hint="eastAsia"/>
      </w:rPr>
    </w:lvl>
    <w:lvl w:ilvl="1" w:tentative="1">
      <w:start w:val="1"/>
      <w:numFmt w:val="lowerLetter"/>
      <w:lvlText w:val="%2)"/>
      <w:lvlJc w:val="left"/>
      <w:pPr>
        <w:ind w:left="1840" w:hanging="420"/>
      </w:pPr>
    </w:lvl>
    <w:lvl w:ilvl="2" w:tentative="1">
      <w:start w:val="1"/>
      <w:numFmt w:val="lowerRoman"/>
      <w:lvlText w:val="%3."/>
      <w:lvlJc w:val="right"/>
      <w:pPr>
        <w:ind w:left="2260" w:hanging="420"/>
      </w:pPr>
    </w:lvl>
    <w:lvl w:ilvl="3" w:tentative="1">
      <w:start w:val="1"/>
      <w:numFmt w:val="decimal"/>
      <w:lvlText w:val="%4."/>
      <w:lvlJc w:val="left"/>
      <w:pPr>
        <w:ind w:left="2680" w:hanging="420"/>
      </w:pPr>
    </w:lvl>
    <w:lvl w:ilvl="4" w:tentative="1">
      <w:start w:val="1"/>
      <w:numFmt w:val="lowerLetter"/>
      <w:lvlText w:val="%5)"/>
      <w:lvlJc w:val="left"/>
      <w:pPr>
        <w:ind w:left="3100" w:hanging="420"/>
      </w:pPr>
    </w:lvl>
    <w:lvl w:ilvl="5" w:tentative="1">
      <w:start w:val="1"/>
      <w:numFmt w:val="lowerRoman"/>
      <w:lvlText w:val="%6."/>
      <w:lvlJc w:val="right"/>
      <w:pPr>
        <w:ind w:left="3520" w:hanging="420"/>
      </w:pPr>
    </w:lvl>
    <w:lvl w:ilvl="6" w:tentative="1">
      <w:start w:val="1"/>
      <w:numFmt w:val="decimal"/>
      <w:lvlText w:val="%7."/>
      <w:lvlJc w:val="left"/>
      <w:pPr>
        <w:ind w:left="3940" w:hanging="420"/>
      </w:pPr>
    </w:lvl>
    <w:lvl w:ilvl="7" w:tentative="1">
      <w:start w:val="1"/>
      <w:numFmt w:val="lowerLetter"/>
      <w:lvlText w:val="%8)"/>
      <w:lvlJc w:val="left"/>
      <w:pPr>
        <w:ind w:left="4360" w:hanging="420"/>
      </w:pPr>
    </w:lvl>
    <w:lvl w:ilvl="8" w:tentative="1">
      <w:start w:val="1"/>
      <w:numFmt w:val="lowerRoman"/>
      <w:lvlText w:val="%9."/>
      <w:lvlJc w:val="right"/>
      <w:pPr>
        <w:ind w:left="4780" w:hanging="420"/>
      </w:pPr>
    </w:lvl>
  </w:abstractNum>
  <w:num w:numId="1">
    <w:abstractNumId w:val="951597593"/>
  </w:num>
  <w:num w:numId="2">
    <w:abstractNumId w:val="527985370"/>
  </w:num>
  <w:num w:numId="3">
    <w:abstractNumId w:val="831261308"/>
  </w:num>
  <w:num w:numId="4">
    <w:abstractNumId w:val="4969213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宋体" w:hAnsi="宋体" w:eastAsia="宋体" w:cs="宋体"/>
      <w:kern w:val="2"/>
      <w:sz w:val="21"/>
      <w:szCs w:val="24"/>
      <w:lang w:val="en-US" w:eastAsia="zh-CN" w:bidi="ar-SA"/>
    </w:rPr>
  </w:style>
  <w:style w:type="paragraph" w:styleId="2">
    <w:name w:val="heading 1"/>
    <w:basedOn w:val="1"/>
    <w:next w:val="3"/>
    <w:link w:val="26"/>
    <w:qFormat/>
    <w:uiPriority w:val="99"/>
    <w:pPr>
      <w:pBdr>
        <w:top w:val="single" w:color="auto" w:sz="4" w:space="1"/>
        <w:left w:val="single" w:color="auto" w:sz="24" w:space="4"/>
        <w:bottom w:val="single" w:color="auto" w:sz="4" w:space="1"/>
      </w:pBdr>
      <w:shd w:val="clear" w:color="auto" w:fill="C6D9F1"/>
      <w:spacing w:before="480" w:after="240" w:line="360" w:lineRule="auto"/>
      <w:ind w:left="2100" w:leftChars="1000"/>
      <w:jc w:val="left"/>
      <w:outlineLvl w:val="0"/>
    </w:pPr>
    <w:rPr>
      <w:b/>
      <w:bCs/>
      <w:kern w:val="44"/>
      <w:sz w:val="24"/>
      <w:szCs w:val="44"/>
    </w:rPr>
  </w:style>
  <w:style w:type="paragraph" w:styleId="5">
    <w:name w:val="heading 2"/>
    <w:basedOn w:val="2"/>
    <w:next w:val="3"/>
    <w:qFormat/>
    <w:uiPriority w:val="0"/>
    <w:pPr>
      <w:numPr>
        <w:ilvl w:val="0"/>
        <w:numId w:val="1"/>
      </w:numPr>
      <w:pBdr>
        <w:top w:val="none" w:color="auto" w:sz="0" w:space="0"/>
        <w:left w:val="none" w:color="auto" w:sz="0" w:space="0"/>
        <w:bottom w:val="none" w:color="auto" w:sz="0" w:space="0"/>
      </w:pBdr>
      <w:shd w:val="clear" w:color="auto" w:fill="FFFFFF"/>
      <w:adjustRightInd w:val="0"/>
      <w:spacing w:before="0" w:after="0" w:line="240" w:lineRule="auto"/>
      <w:ind w:left="0" w:leftChars="0"/>
      <w:outlineLvl w:val="1"/>
    </w:pPr>
    <w:rPr>
      <w:rFonts w:ascii="Arial" w:hAnsi="Arial" w:eastAsia="黑体"/>
      <w:b w:val="0"/>
      <w:bCs w:val="0"/>
      <w:sz w:val="21"/>
      <w:szCs w:val="32"/>
    </w:rPr>
  </w:style>
  <w:style w:type="paragraph" w:styleId="6">
    <w:name w:val="heading 3"/>
    <w:basedOn w:val="5"/>
    <w:next w:val="3"/>
    <w:qFormat/>
    <w:uiPriority w:val="0"/>
    <w:pPr>
      <w:numPr>
        <w:ilvl w:val="0"/>
        <w:numId w:val="2"/>
      </w:numPr>
      <w:spacing w:line="0" w:lineRule="atLeast"/>
      <w:ind w:left="0"/>
      <w:outlineLvl w:val="2"/>
    </w:pPr>
    <w:rPr>
      <w:rFonts w:eastAsia="宋体"/>
      <w:bCs/>
      <w:kern w:val="24"/>
      <w:szCs w:val="28"/>
    </w:rPr>
  </w:style>
  <w:style w:type="paragraph" w:styleId="7">
    <w:name w:val="heading 4"/>
    <w:basedOn w:val="6"/>
    <w:next w:val="3"/>
    <w:qFormat/>
    <w:uiPriority w:val="99"/>
    <w:pPr>
      <w:numPr>
        <w:ilvl w:val="0"/>
        <w:numId w:val="3"/>
      </w:numPr>
      <w:spacing w:line="60" w:lineRule="atLeast"/>
      <w:ind w:left="1000"/>
      <w:outlineLvl w:val="3"/>
    </w:pPr>
    <w:rPr>
      <w:bCs w:val="0"/>
    </w:rPr>
  </w:style>
  <w:style w:type="paragraph" w:styleId="8">
    <w:name w:val="heading 5"/>
    <w:basedOn w:val="7"/>
    <w:next w:val="1"/>
    <w:qFormat/>
    <w:uiPriority w:val="0"/>
    <w:pPr>
      <w:numPr>
        <w:ilvl w:val="0"/>
        <w:numId w:val="0"/>
      </w:numPr>
      <w:ind w:left="3100" w:leftChars="1000" w:hanging="420"/>
      <w:outlineLvl w:val="4"/>
    </w:pPr>
    <w:rPr>
      <w:rFonts w:eastAsia="宋体"/>
      <w:sz w:val="24"/>
    </w:rPr>
  </w:style>
  <w:style w:type="paragraph" w:styleId="9">
    <w:name w:val="heading 6"/>
    <w:basedOn w:val="7"/>
    <w:next w:val="1"/>
    <w:qFormat/>
    <w:uiPriority w:val="0"/>
    <w:pPr>
      <w:numPr>
        <w:ilvl w:val="0"/>
        <w:numId w:val="0"/>
      </w:numPr>
      <w:ind w:left="3520" w:leftChars="1000" w:hanging="420"/>
      <w:outlineLvl w:val="5"/>
    </w:pPr>
    <w:rPr>
      <w:rFonts w:eastAsia="宋体"/>
      <w:sz w:val="24"/>
    </w:rPr>
  </w:style>
  <w:style w:type="character" w:default="1" w:styleId="17">
    <w:name w:val="Default Paragraph Font"/>
    <w:semiHidden/>
    <w:unhideWhenUsed/>
    <w:uiPriority w:val="1"/>
  </w:style>
  <w:style w:type="paragraph" w:customStyle="1" w:styleId="3">
    <w:name w:val="内容段落"/>
    <w:basedOn w:val="4"/>
    <w:uiPriority w:val="99"/>
    <w:pPr>
      <w:spacing w:line="276" w:lineRule="auto"/>
      <w:ind w:left="1890" w:leftChars="900" w:firstLine="420"/>
    </w:pPr>
    <w:rPr>
      <w:rFonts w:ascii="宋体" w:hAnsi="宋体"/>
      <w:color w:val="auto"/>
      <w:sz w:val="21"/>
      <w:szCs w:val="20"/>
    </w:rPr>
  </w:style>
  <w:style w:type="paragraph" w:customStyle="1" w:styleId="4">
    <w:name w:val="首行缩进2字符"/>
    <w:basedOn w:val="1"/>
    <w:uiPriority w:val="0"/>
    <w:pPr>
      <w:ind w:firstLine="480" w:firstLineChars="200"/>
      <w:jc w:val="center"/>
    </w:pPr>
    <w:rPr>
      <w:color w:val="0000FF"/>
      <w:sz w:val="24"/>
    </w:rPr>
  </w:style>
  <w:style w:type="paragraph" w:styleId="10">
    <w:name w:val="annotation subject"/>
    <w:basedOn w:val="11"/>
    <w:next w:val="11"/>
    <w:link w:val="28"/>
    <w:uiPriority w:val="0"/>
    <w:rPr>
      <w:b/>
      <w:bCs/>
    </w:rPr>
  </w:style>
  <w:style w:type="paragraph" w:styleId="11">
    <w:name w:val="annotation text"/>
    <w:basedOn w:val="1"/>
    <w:link w:val="27"/>
    <w:uiPriority w:val="0"/>
    <w:pPr>
      <w:jc w:val="left"/>
    </w:pPr>
  </w:style>
  <w:style w:type="paragraph" w:styleId="12">
    <w:name w:val="Document Map"/>
    <w:basedOn w:val="1"/>
    <w:semiHidden/>
    <w:uiPriority w:val="0"/>
    <w:pPr>
      <w:shd w:val="clear" w:color="auto" w:fill="000080"/>
    </w:pPr>
  </w:style>
  <w:style w:type="paragraph" w:styleId="13">
    <w:name w:val="Date"/>
    <w:basedOn w:val="1"/>
    <w:next w:val="1"/>
    <w:link w:val="30"/>
    <w:uiPriority w:val="0"/>
    <w:pPr>
      <w:ind w:left="100" w:leftChars="2500"/>
    </w:pPr>
  </w:style>
  <w:style w:type="paragraph" w:styleId="14">
    <w:name w:val="Balloon Text"/>
    <w:basedOn w:val="1"/>
    <w:link w:val="25"/>
    <w:uiPriority w:val="0"/>
    <w:rPr>
      <w:sz w:val="18"/>
      <w:szCs w:val="18"/>
    </w:rPr>
  </w:style>
  <w:style w:type="paragraph" w:styleId="15">
    <w:name w:val="footer"/>
    <w:basedOn w:val="1"/>
    <w:link w:val="24"/>
    <w:uiPriority w:val="99"/>
    <w:pPr>
      <w:tabs>
        <w:tab w:val="center" w:pos="4153"/>
        <w:tab w:val="right" w:pos="8306"/>
      </w:tabs>
      <w:snapToGrid w:val="0"/>
      <w:jc w:val="left"/>
    </w:pPr>
    <w:rPr>
      <w:sz w:val="18"/>
      <w:szCs w:val="18"/>
    </w:rPr>
  </w:style>
  <w:style w:type="paragraph" w:styleId="16">
    <w:name w:val="header"/>
    <w:basedOn w:val="1"/>
    <w:link w:val="29"/>
    <w:uiPriority w:val="0"/>
    <w:pPr>
      <w:pBdr>
        <w:bottom w:val="single" w:color="auto" w:sz="6" w:space="1"/>
      </w:pBdr>
      <w:tabs>
        <w:tab w:val="center" w:pos="4153"/>
        <w:tab w:val="right" w:pos="8306"/>
      </w:tabs>
      <w:snapToGrid w:val="0"/>
      <w:jc w:val="center"/>
    </w:pPr>
    <w:rPr>
      <w:sz w:val="18"/>
      <w:szCs w:val="18"/>
    </w:rPr>
  </w:style>
  <w:style w:type="character" w:styleId="18">
    <w:name w:val="annotation reference"/>
    <w:basedOn w:val="17"/>
    <w:uiPriority w:val="0"/>
    <w:rPr>
      <w:sz w:val="21"/>
      <w:szCs w:val="21"/>
    </w:rPr>
  </w:style>
  <w:style w:type="paragraph" w:customStyle="1" w:styleId="19">
    <w:name w:val="任纲居中"/>
    <w:basedOn w:val="1"/>
    <w:next w:val="1"/>
    <w:uiPriority w:val="0"/>
    <w:pPr>
      <w:jc w:val="center"/>
    </w:pPr>
    <w:rPr>
      <w:szCs w:val="20"/>
    </w:rPr>
  </w:style>
  <w:style w:type="paragraph" w:customStyle="1" w:styleId="20">
    <w:name w:val="首行缩进2字符 + 红色"/>
    <w:basedOn w:val="4"/>
    <w:next w:val="4"/>
    <w:uiPriority w:val="0"/>
    <w:rPr>
      <w:color w:val="FF0000"/>
      <w:szCs w:val="20"/>
    </w:rPr>
  </w:style>
  <w:style w:type="paragraph" w:customStyle="1" w:styleId="21">
    <w:name w:val="正文标题"/>
    <w:basedOn w:val="1"/>
    <w:next w:val="4"/>
    <w:uiPriority w:val="99"/>
    <w:pPr>
      <w:jc w:val="center"/>
    </w:pPr>
    <w:rPr>
      <w:b/>
      <w:sz w:val="32"/>
      <w:szCs w:val="20"/>
    </w:rPr>
  </w:style>
  <w:style w:type="paragraph" w:customStyle="1" w:styleId="22">
    <w:name w:val="迈科图标头"/>
    <w:basedOn w:val="1"/>
    <w:next w:val="1"/>
    <w:qFormat/>
    <w:uiPriority w:val="99"/>
    <w:pPr>
      <w:jc w:val="center"/>
    </w:pPr>
    <w:rPr>
      <w:sz w:val="18"/>
    </w:rPr>
  </w:style>
  <w:style w:type="paragraph" w:customStyle="1" w:styleId="23">
    <w:name w:val="报告要点"/>
    <w:basedOn w:val="1"/>
    <w:qFormat/>
    <w:uiPriority w:val="0"/>
    <w:pPr>
      <w:numPr>
        <w:ilvl w:val="0"/>
        <w:numId w:val="4"/>
      </w:numPr>
      <w:spacing w:before="160" w:line="288" w:lineRule="auto"/>
      <w:ind w:left="420"/>
    </w:pPr>
  </w:style>
  <w:style w:type="character" w:customStyle="1" w:styleId="24">
    <w:name w:val="页脚 Char Char"/>
    <w:basedOn w:val="17"/>
    <w:link w:val="15"/>
    <w:uiPriority w:val="99"/>
    <w:rPr>
      <w:kern w:val="2"/>
      <w:sz w:val="18"/>
      <w:szCs w:val="18"/>
    </w:rPr>
  </w:style>
  <w:style w:type="character" w:customStyle="1" w:styleId="25">
    <w:name w:val="批注框文本 Char Char"/>
    <w:basedOn w:val="17"/>
    <w:link w:val="14"/>
    <w:uiPriority w:val="0"/>
    <w:rPr>
      <w:kern w:val="2"/>
      <w:sz w:val="18"/>
      <w:szCs w:val="18"/>
    </w:rPr>
  </w:style>
  <w:style w:type="character" w:customStyle="1" w:styleId="26">
    <w:name w:val="标题 1 Char Char"/>
    <w:basedOn w:val="17"/>
    <w:link w:val="2"/>
    <w:uiPriority w:val="0"/>
    <w:rPr>
      <w:b/>
      <w:bCs/>
      <w:kern w:val="44"/>
      <w:sz w:val="24"/>
      <w:szCs w:val="44"/>
      <w:shd w:val="clear" w:color="auto" w:fill="C6D9F1"/>
    </w:rPr>
  </w:style>
  <w:style w:type="character" w:customStyle="1" w:styleId="27">
    <w:name w:val="批注文字 Char Char"/>
    <w:basedOn w:val="17"/>
    <w:link w:val="11"/>
    <w:uiPriority w:val="0"/>
    <w:rPr>
      <w:kern w:val="2"/>
      <w:sz w:val="21"/>
      <w:szCs w:val="24"/>
    </w:rPr>
  </w:style>
  <w:style w:type="character" w:customStyle="1" w:styleId="28">
    <w:name w:val="批注主题 Char Char"/>
    <w:basedOn w:val="27"/>
    <w:link w:val="10"/>
    <w:uiPriority w:val="0"/>
    <w:rPr>
      <w:b/>
      <w:bCs/>
    </w:rPr>
  </w:style>
  <w:style w:type="character" w:customStyle="1" w:styleId="29">
    <w:name w:val="页眉 Char Char"/>
    <w:basedOn w:val="17"/>
    <w:link w:val="16"/>
    <w:uiPriority w:val="0"/>
    <w:rPr>
      <w:kern w:val="2"/>
      <w:sz w:val="18"/>
      <w:szCs w:val="18"/>
    </w:rPr>
  </w:style>
  <w:style w:type="character" w:customStyle="1" w:styleId="30">
    <w:name w:val="日期 Char Char"/>
    <w:basedOn w:val="17"/>
    <w:link w:val="13"/>
    <w:uiPriority w:val="0"/>
    <w:rPr>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 Type="http://schemas.openxmlformats.org/officeDocument/2006/relationships/styles" Target="styles.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customXml" Target="../customXml/item1.xml"/><Relationship Id="rId23"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月报印刷模板-单独品种</Template>
  <Company>maike</Company>
  <Pages>8</Pages>
  <Words>1079</Words>
  <Characters>6152</Characters>
  <Lines>51</Lines>
  <Paragraphs>14</Paragraphs>
  <TotalTime>0</TotalTime>
  <ScaleCrop>false</ScaleCrop>
  <LinksUpToDate>false</LinksUpToDate>
  <CharactersWithSpaces>0</CharactersWithSpaces>
  <Application>WPS Office 个人版_9.1.0.4392_{F1E327BC-269C-435d-A152-05C5408002CA}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2013-11-04T02:19:00Z</dcterms:created>
  <dc:creator>任娇娇</dc:creator>
  <cp:lastModifiedBy>Administrator</cp:lastModifiedBy>
  <dcterms:modified xsi:type="dcterms:W3CDTF">2013-11-05T14:21:41Z</dcterms:modified>
  <dc:title>反对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